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4005DD" w14:textId="2E336832" w:rsidR="00D92E0D" w:rsidRPr="002A6EDB" w:rsidRDefault="00D92E0D" w:rsidP="002A6EDB">
      <w:pPr>
        <w:spacing w:after="0" w:line="276" w:lineRule="auto"/>
        <w:jc w:val="right"/>
        <w:rPr>
          <w:rFonts w:ascii="Times New Roman" w:hAnsi="Times New Roman" w:cs="Times New Roman"/>
          <w:b/>
          <w:sz w:val="24"/>
          <w:szCs w:val="24"/>
        </w:rPr>
      </w:pPr>
      <w:bookmarkStart w:id="0" w:name="_GoBack"/>
      <w:bookmarkEnd w:id="0"/>
      <w:r w:rsidRPr="002A6EDB">
        <w:rPr>
          <w:rFonts w:ascii="Times New Roman" w:hAnsi="Times New Roman" w:cs="Times New Roman"/>
          <w:b/>
          <w:sz w:val="24"/>
          <w:szCs w:val="24"/>
        </w:rPr>
        <w:t xml:space="preserve">Приложение № </w:t>
      </w:r>
      <w:r w:rsidR="008F0A8C">
        <w:rPr>
          <w:rFonts w:ascii="Times New Roman" w:hAnsi="Times New Roman" w:cs="Times New Roman"/>
          <w:b/>
          <w:sz w:val="24"/>
          <w:szCs w:val="24"/>
        </w:rPr>
        <w:t>4б</w:t>
      </w:r>
    </w:p>
    <w:p w14:paraId="23F71455" w14:textId="1909CBFC" w:rsidR="00CF52FE" w:rsidRPr="002A6EDB" w:rsidRDefault="00D92E0D" w:rsidP="002A6EDB">
      <w:pPr>
        <w:spacing w:after="0" w:line="276" w:lineRule="auto"/>
        <w:jc w:val="right"/>
        <w:rPr>
          <w:rFonts w:ascii="Times New Roman" w:hAnsi="Times New Roman" w:cs="Times New Roman"/>
          <w:b/>
          <w:i/>
          <w:sz w:val="24"/>
          <w:szCs w:val="24"/>
        </w:rPr>
      </w:pPr>
      <w:r w:rsidRPr="002A6EDB">
        <w:rPr>
          <w:rFonts w:ascii="Times New Roman" w:hAnsi="Times New Roman" w:cs="Times New Roman"/>
          <w:b/>
          <w:sz w:val="24"/>
          <w:szCs w:val="24"/>
        </w:rPr>
        <w:t>към Условия за кандидатстване</w:t>
      </w:r>
    </w:p>
    <w:p w14:paraId="27E345D6" w14:textId="77777777" w:rsidR="00D92E0D" w:rsidRPr="002A6EDB" w:rsidRDefault="00D92E0D" w:rsidP="002A6EDB">
      <w:pPr>
        <w:spacing w:after="0" w:line="276" w:lineRule="auto"/>
        <w:jc w:val="right"/>
        <w:rPr>
          <w:rFonts w:ascii="Times New Roman" w:hAnsi="Times New Roman" w:cs="Times New Roman"/>
          <w:b/>
          <w:sz w:val="24"/>
          <w:szCs w:val="24"/>
        </w:rPr>
      </w:pPr>
    </w:p>
    <w:p w14:paraId="6F55C625" w14:textId="4CB4AED9" w:rsidR="00BA0597" w:rsidRPr="002A6EDB" w:rsidRDefault="00BA0597" w:rsidP="002A6EDB">
      <w:pPr>
        <w:spacing w:after="0" w:line="276" w:lineRule="auto"/>
        <w:jc w:val="center"/>
        <w:rPr>
          <w:rFonts w:ascii="Times New Roman" w:hAnsi="Times New Roman" w:cs="Times New Roman"/>
          <w:b/>
          <w:sz w:val="24"/>
          <w:szCs w:val="24"/>
        </w:rPr>
      </w:pPr>
      <w:r w:rsidRPr="002A6EDB">
        <w:rPr>
          <w:rFonts w:ascii="Times New Roman" w:hAnsi="Times New Roman" w:cs="Times New Roman"/>
          <w:b/>
          <w:sz w:val="24"/>
          <w:szCs w:val="24"/>
        </w:rPr>
        <w:t xml:space="preserve">ИНФОРМАЦИЯ ОТНОСНО СПАЗВАНЕ НА ПРИНЦИПА ЗА „НЕНАНАСЯНЕ НА ЗНАЧИТЕЛНИ ВРЕДИ“ (ПНЗВ) или </w:t>
      </w:r>
      <w:r w:rsidR="0040335A" w:rsidRPr="002A6EDB">
        <w:rPr>
          <w:rFonts w:ascii="Times New Roman" w:hAnsi="Times New Roman" w:cs="Times New Roman"/>
          <w:b/>
          <w:sz w:val="24"/>
          <w:szCs w:val="24"/>
        </w:rPr>
        <w:t>„</w:t>
      </w:r>
      <w:r w:rsidRPr="002A6EDB">
        <w:rPr>
          <w:rFonts w:ascii="Times New Roman" w:hAnsi="Times New Roman" w:cs="Times New Roman"/>
          <w:b/>
          <w:sz w:val="24"/>
          <w:szCs w:val="24"/>
          <w:lang w:val="en-US"/>
        </w:rPr>
        <w:t>Do</w:t>
      </w:r>
      <w:r w:rsidRPr="002A6EDB">
        <w:rPr>
          <w:rFonts w:ascii="Times New Roman" w:hAnsi="Times New Roman" w:cs="Times New Roman"/>
          <w:b/>
          <w:sz w:val="24"/>
          <w:szCs w:val="24"/>
        </w:rPr>
        <w:t xml:space="preserve"> </w:t>
      </w:r>
      <w:r w:rsidRPr="002A6EDB">
        <w:rPr>
          <w:rFonts w:ascii="Times New Roman" w:hAnsi="Times New Roman" w:cs="Times New Roman"/>
          <w:b/>
          <w:sz w:val="24"/>
          <w:szCs w:val="24"/>
          <w:lang w:val="en-US"/>
        </w:rPr>
        <w:t>not</w:t>
      </w:r>
      <w:r w:rsidRPr="002A6EDB">
        <w:rPr>
          <w:rFonts w:ascii="Times New Roman" w:hAnsi="Times New Roman" w:cs="Times New Roman"/>
          <w:b/>
          <w:sz w:val="24"/>
          <w:szCs w:val="24"/>
        </w:rPr>
        <w:t xml:space="preserve"> </w:t>
      </w:r>
      <w:r w:rsidRPr="002A6EDB">
        <w:rPr>
          <w:rFonts w:ascii="Times New Roman" w:hAnsi="Times New Roman" w:cs="Times New Roman"/>
          <w:b/>
          <w:sz w:val="24"/>
          <w:szCs w:val="24"/>
          <w:lang w:val="en-US"/>
        </w:rPr>
        <w:t>significant</w:t>
      </w:r>
      <w:r w:rsidRPr="002A6EDB">
        <w:rPr>
          <w:rFonts w:ascii="Times New Roman" w:hAnsi="Times New Roman" w:cs="Times New Roman"/>
          <w:b/>
          <w:sz w:val="24"/>
          <w:szCs w:val="24"/>
        </w:rPr>
        <w:t xml:space="preserve"> </w:t>
      </w:r>
      <w:r w:rsidRPr="002A6EDB">
        <w:rPr>
          <w:rFonts w:ascii="Times New Roman" w:hAnsi="Times New Roman" w:cs="Times New Roman"/>
          <w:b/>
          <w:sz w:val="24"/>
          <w:szCs w:val="24"/>
          <w:lang w:val="en-US"/>
        </w:rPr>
        <w:t>harm</w:t>
      </w:r>
      <w:r w:rsidR="0040335A" w:rsidRPr="002A6EDB">
        <w:rPr>
          <w:rFonts w:ascii="Times New Roman" w:hAnsi="Times New Roman" w:cs="Times New Roman"/>
          <w:b/>
          <w:sz w:val="24"/>
          <w:szCs w:val="24"/>
        </w:rPr>
        <w:t>“</w:t>
      </w:r>
      <w:r w:rsidRPr="002A6EDB">
        <w:rPr>
          <w:rFonts w:ascii="Times New Roman" w:hAnsi="Times New Roman" w:cs="Times New Roman"/>
          <w:b/>
          <w:sz w:val="24"/>
          <w:szCs w:val="24"/>
        </w:rPr>
        <w:t xml:space="preserve"> (</w:t>
      </w:r>
      <w:r w:rsidRPr="002A6EDB">
        <w:rPr>
          <w:rFonts w:ascii="Times New Roman" w:hAnsi="Times New Roman" w:cs="Times New Roman"/>
          <w:b/>
          <w:sz w:val="24"/>
          <w:szCs w:val="24"/>
          <w:lang w:val="en-US"/>
        </w:rPr>
        <w:t>DNSH</w:t>
      </w:r>
      <w:r w:rsidRPr="002A6EDB">
        <w:rPr>
          <w:rFonts w:ascii="Times New Roman" w:hAnsi="Times New Roman" w:cs="Times New Roman"/>
          <w:b/>
          <w:sz w:val="24"/>
          <w:szCs w:val="24"/>
        </w:rPr>
        <w:t>)</w:t>
      </w:r>
    </w:p>
    <w:p w14:paraId="4AA48CCE" w14:textId="3BEB4AC2" w:rsidR="005453AF" w:rsidRPr="002A6EDB" w:rsidRDefault="005453AF" w:rsidP="002A6EDB">
      <w:pPr>
        <w:spacing w:after="0" w:line="276" w:lineRule="auto"/>
        <w:jc w:val="center"/>
        <w:rPr>
          <w:rFonts w:ascii="Times New Roman" w:hAnsi="Times New Roman" w:cs="Times New Roman"/>
          <w:b/>
          <w:sz w:val="24"/>
          <w:szCs w:val="24"/>
        </w:rPr>
      </w:pPr>
      <w:r w:rsidRPr="002A6EDB">
        <w:rPr>
          <w:rFonts w:ascii="Times New Roman" w:hAnsi="Times New Roman" w:cs="Times New Roman"/>
          <w:b/>
          <w:sz w:val="24"/>
          <w:szCs w:val="24"/>
        </w:rPr>
        <w:t>при изпълнението на инвестиции по НПВУ</w:t>
      </w:r>
    </w:p>
    <w:p w14:paraId="48479956" w14:textId="77777777" w:rsidR="00D92E0D" w:rsidRPr="002A6EDB" w:rsidRDefault="00D92E0D" w:rsidP="002A6EDB">
      <w:pPr>
        <w:spacing w:after="0" w:line="276" w:lineRule="auto"/>
        <w:jc w:val="center"/>
        <w:rPr>
          <w:rFonts w:ascii="Times New Roman" w:hAnsi="Times New Roman" w:cs="Times New Roman"/>
          <w:sz w:val="24"/>
          <w:szCs w:val="24"/>
        </w:rPr>
      </w:pPr>
    </w:p>
    <w:p w14:paraId="772BDD17" w14:textId="28F5B1C2"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Регламентът за създаване на Механизъм за възстановяване и устойчивост (МВУ) (Регламент (ЕС) 2021/241</w:t>
      </w:r>
      <w:r w:rsidR="005B24EF" w:rsidRPr="005B24EF">
        <w:t xml:space="preserve"> </w:t>
      </w:r>
      <w:r w:rsidR="005B24EF" w:rsidRPr="005B24EF">
        <w:rPr>
          <w:rFonts w:ascii="Times New Roman" w:hAnsi="Times New Roman" w:cs="Times New Roman"/>
          <w:sz w:val="24"/>
          <w:szCs w:val="24"/>
        </w:rPr>
        <w:t>на Европейския парламент и на Съвета от 12 февруари 2021 година за създаване на Механизъм за възстановяване и устойчивост (OB L 57 от 18.2.2021 г.), наричан по – нататък „Регламент (ЕС) 2021/241“</w:t>
      </w:r>
      <w:r w:rsidRPr="002A6EDB">
        <w:rPr>
          <w:rFonts w:ascii="Times New Roman" w:hAnsi="Times New Roman" w:cs="Times New Roman"/>
          <w:sz w:val="24"/>
          <w:szCs w:val="24"/>
        </w:rPr>
        <w:t xml:space="preserve">) определя целите на механизма, формите на финансиране от Съюза и правилата за предоставяне на такова финансиране. Регламент (ЕС) 2021/241 предвижда, че нито една мярка, включена в плановете за възстановяване и устойчивост на държавите-членки не трябва да води до значителни вреди за екологичните цели по смисъла на Регламент (ЕС) 2020/852 на Европейския парламент и на Съвета от 18 юни 2020 година за създаване на рамка за улесняване на устойчивите инвестиции </w:t>
      </w:r>
      <w:r w:rsidR="005B24EF" w:rsidRPr="005B24EF">
        <w:rPr>
          <w:rFonts w:ascii="Times New Roman" w:hAnsi="Times New Roman" w:cs="Times New Roman"/>
          <w:sz w:val="24"/>
          <w:szCs w:val="24"/>
        </w:rPr>
        <w:t xml:space="preserve">(OB L 198 от 22.6.2020 г.), наричан по-нататък </w:t>
      </w:r>
      <w:r w:rsidR="005B24EF">
        <w:rPr>
          <w:rFonts w:ascii="Times New Roman" w:hAnsi="Times New Roman" w:cs="Times New Roman"/>
          <w:sz w:val="24"/>
          <w:szCs w:val="24"/>
        </w:rPr>
        <w:t>„</w:t>
      </w:r>
      <w:r w:rsidRPr="002A6EDB">
        <w:rPr>
          <w:rFonts w:ascii="Times New Roman" w:hAnsi="Times New Roman" w:cs="Times New Roman"/>
          <w:sz w:val="24"/>
          <w:szCs w:val="24"/>
        </w:rPr>
        <w:t>Регламент за таксономията</w:t>
      </w:r>
      <w:r w:rsidR="005B24EF">
        <w:rPr>
          <w:rFonts w:ascii="Times New Roman" w:hAnsi="Times New Roman" w:cs="Times New Roman"/>
          <w:sz w:val="24"/>
          <w:szCs w:val="24"/>
        </w:rPr>
        <w:t>“</w:t>
      </w:r>
      <w:r w:rsidRPr="002A6EDB">
        <w:rPr>
          <w:rFonts w:ascii="Times New Roman" w:hAnsi="Times New Roman" w:cs="Times New Roman"/>
          <w:sz w:val="24"/>
          <w:szCs w:val="24"/>
        </w:rPr>
        <w:t>.</w:t>
      </w:r>
    </w:p>
    <w:p w14:paraId="68CDB137"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На база посоченото, всички мерки/дейности/</w:t>
      </w:r>
      <w:r w:rsidRPr="002A6EDB">
        <w:rPr>
          <w:rFonts w:ascii="Times New Roman" w:hAnsi="Times New Roman" w:cs="Times New Roman"/>
          <w:b/>
          <w:bCs/>
          <w:sz w:val="24"/>
          <w:szCs w:val="24"/>
        </w:rPr>
        <w:t>инвестиции</w:t>
      </w:r>
      <w:r w:rsidRPr="002A6EDB">
        <w:rPr>
          <w:rFonts w:ascii="Times New Roman" w:hAnsi="Times New Roman" w:cs="Times New Roman"/>
          <w:sz w:val="24"/>
          <w:szCs w:val="24"/>
        </w:rPr>
        <w:t>, включени в Националния план за възстановяване и устойчивост на България (НПВУ), следва да бъдат в съответствие с принципа за „</w:t>
      </w:r>
      <w:proofErr w:type="spellStart"/>
      <w:r w:rsidRPr="002A6EDB">
        <w:rPr>
          <w:rFonts w:ascii="Times New Roman" w:hAnsi="Times New Roman" w:cs="Times New Roman"/>
          <w:sz w:val="24"/>
          <w:szCs w:val="24"/>
        </w:rPr>
        <w:t>ненанасяне</w:t>
      </w:r>
      <w:proofErr w:type="spellEnd"/>
      <w:r w:rsidRPr="002A6EDB">
        <w:rPr>
          <w:rFonts w:ascii="Times New Roman" w:hAnsi="Times New Roman" w:cs="Times New Roman"/>
          <w:sz w:val="24"/>
          <w:szCs w:val="24"/>
        </w:rPr>
        <w:t xml:space="preserve"> на значителни вреди“ и да допринасят за екологичния преход като отчитат </w:t>
      </w:r>
      <w:r w:rsidRPr="002A6EDB">
        <w:rPr>
          <w:rFonts w:ascii="Times New Roman" w:hAnsi="Times New Roman" w:cs="Times New Roman"/>
          <w:b/>
          <w:sz w:val="24"/>
          <w:szCs w:val="24"/>
        </w:rPr>
        <w:t>шестте екологични цели</w:t>
      </w:r>
      <w:r w:rsidRPr="002A6EDB">
        <w:rPr>
          <w:rFonts w:ascii="Times New Roman" w:hAnsi="Times New Roman" w:cs="Times New Roman"/>
          <w:sz w:val="24"/>
          <w:szCs w:val="24"/>
        </w:rPr>
        <w:t>, заложени в чл. 9 от Регламента за таксономията, а именно:</w:t>
      </w:r>
    </w:p>
    <w:p w14:paraId="3614808B"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 смекчаване на изменението на климата;</w:t>
      </w:r>
    </w:p>
    <w:p w14:paraId="4B942E1C"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2) адаптиране към изменението на климата;</w:t>
      </w:r>
    </w:p>
    <w:p w14:paraId="0EB9CB4E"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3) устойчиво използване и опазване на водните и морските ресурси;</w:t>
      </w:r>
    </w:p>
    <w:p w14:paraId="08B92EBB"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4) преход към кръгова икономика;</w:t>
      </w:r>
    </w:p>
    <w:p w14:paraId="434262AC"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5) предотвратяване и контрол на замърсяването;</w:t>
      </w:r>
    </w:p>
    <w:p w14:paraId="64D036CD"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6) защита и възстановяване на биологичното разнообразие и екосистемите.</w:t>
      </w:r>
    </w:p>
    <w:p w14:paraId="22D339E8" w14:textId="4CE5147B" w:rsid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noProof/>
          <w:sz w:val="24"/>
          <w:szCs w:val="24"/>
          <w:lang w:eastAsia="bg-BG"/>
        </w:rPr>
        <w:drawing>
          <wp:inline distT="0" distB="0" distL="0" distR="0" wp14:anchorId="28645F10" wp14:editId="2D9FC37A">
            <wp:extent cx="5760720" cy="1827530"/>
            <wp:effectExtent l="0" t="0" r="0" b="1270"/>
            <wp:docPr id="2" name="Picture 13">
              <a:extLst xmlns:a="http://schemas.openxmlformats.org/drawingml/2006/main">
                <a:ext uri="{FF2B5EF4-FFF2-40B4-BE49-F238E27FC236}">
                  <a16:creationId xmlns:a16="http://schemas.microsoft.com/office/drawing/2014/main" id="{8C57BE34-99D9-6C80-E25D-D4C1C0CCA7A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3">
                      <a:extLst>
                        <a:ext uri="{FF2B5EF4-FFF2-40B4-BE49-F238E27FC236}">
                          <a16:creationId xmlns:a16="http://schemas.microsoft.com/office/drawing/2014/main" id="{8C57BE34-99D9-6C80-E25D-D4C1C0CCA7AD}"/>
                        </a:ext>
                      </a:extLst>
                    </pic:cNvPr>
                    <pic:cNvPicPr>
                      <a:picLocks noChangeAspect="1"/>
                    </pic:cNvPicPr>
                  </pic:nvPicPr>
                  <pic:blipFill>
                    <a:blip r:embed="rId8"/>
                    <a:stretch>
                      <a:fillRect/>
                    </a:stretch>
                  </pic:blipFill>
                  <pic:spPr>
                    <a:xfrm>
                      <a:off x="0" y="0"/>
                      <a:ext cx="5760720" cy="1827530"/>
                    </a:xfrm>
                    <a:prstGeom prst="rect">
                      <a:avLst/>
                    </a:prstGeom>
                  </pic:spPr>
                </pic:pic>
              </a:graphicData>
            </a:graphic>
          </wp:inline>
        </w:drawing>
      </w:r>
    </w:p>
    <w:p w14:paraId="1C612E2F"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В тази връзка, всяка една инвестиция по НПВУ следва да бъде в съответствие с принципа за „</w:t>
      </w:r>
      <w:proofErr w:type="spellStart"/>
      <w:r w:rsidRPr="002A6EDB">
        <w:rPr>
          <w:rFonts w:ascii="Times New Roman" w:hAnsi="Times New Roman" w:cs="Times New Roman"/>
          <w:sz w:val="24"/>
          <w:szCs w:val="24"/>
        </w:rPr>
        <w:t>ненанасяне</w:t>
      </w:r>
      <w:proofErr w:type="spellEnd"/>
      <w:r w:rsidRPr="002A6EDB">
        <w:rPr>
          <w:rFonts w:ascii="Times New Roman" w:hAnsi="Times New Roman" w:cs="Times New Roman"/>
          <w:sz w:val="24"/>
          <w:szCs w:val="24"/>
        </w:rPr>
        <w:t xml:space="preserve"> на значителни вреди”.</w:t>
      </w:r>
    </w:p>
    <w:p w14:paraId="57357DB1" w14:textId="77777777" w:rsidR="002A6EDB" w:rsidRPr="002A6EDB" w:rsidRDefault="002A6EDB" w:rsidP="002A6EDB">
      <w:pPr>
        <w:spacing w:after="0" w:line="276" w:lineRule="auto"/>
        <w:jc w:val="both"/>
        <w:rPr>
          <w:rFonts w:ascii="Times New Roman" w:hAnsi="Times New Roman" w:cs="Times New Roman"/>
          <w:b/>
          <w:bCs/>
          <w:color w:val="FF0000"/>
          <w:sz w:val="24"/>
          <w:szCs w:val="24"/>
        </w:rPr>
      </w:pPr>
      <w:r w:rsidRPr="002A6EDB">
        <w:rPr>
          <w:rFonts w:ascii="Times New Roman" w:hAnsi="Times New Roman" w:cs="Times New Roman"/>
          <w:sz w:val="24"/>
          <w:szCs w:val="24"/>
        </w:rPr>
        <w:t>За целите на Регламента за Механизма за възстановяване и устойчивост  принципът за „</w:t>
      </w:r>
      <w:proofErr w:type="spellStart"/>
      <w:r w:rsidRPr="002A6EDB">
        <w:rPr>
          <w:rFonts w:ascii="Times New Roman" w:hAnsi="Times New Roman" w:cs="Times New Roman"/>
          <w:sz w:val="24"/>
          <w:szCs w:val="24"/>
        </w:rPr>
        <w:t>ненанасяне</w:t>
      </w:r>
      <w:proofErr w:type="spellEnd"/>
      <w:r w:rsidRPr="002A6EDB">
        <w:rPr>
          <w:rFonts w:ascii="Times New Roman" w:hAnsi="Times New Roman" w:cs="Times New Roman"/>
          <w:sz w:val="24"/>
          <w:szCs w:val="24"/>
        </w:rPr>
        <w:t xml:space="preserve"> на значителни вреди” трябва да се тълкува по смисъла на чл. 17 от Регламента за таксономията, в който се определя какво представлява „значителна вреда” за шестте екологични цели, обхванати в него. В тази връзка, като се отчита целият жизнен цикъл на продуктите  и услугите (като се отчитат по-специално производството, употребата и излизането от употреба на тези продукти и услуги), предоставяни посредством дадена икономическа дейност, се приема, че дейността нанася значителни вреди за някой от шестте </w:t>
      </w:r>
      <w:r w:rsidRPr="002A6EDB">
        <w:rPr>
          <w:rFonts w:ascii="Times New Roman" w:hAnsi="Times New Roman" w:cs="Times New Roman"/>
          <w:sz w:val="24"/>
          <w:szCs w:val="24"/>
        </w:rPr>
        <w:lastRenderedPageBreak/>
        <w:t xml:space="preserve">екологични цели, и съответно </w:t>
      </w:r>
      <w:r w:rsidRPr="002A6EDB">
        <w:rPr>
          <w:rFonts w:ascii="Times New Roman" w:hAnsi="Times New Roman" w:cs="Times New Roman"/>
          <w:b/>
          <w:bCs/>
          <w:color w:val="FF0000"/>
          <w:sz w:val="24"/>
          <w:szCs w:val="24"/>
        </w:rPr>
        <w:t>НЕ е налице</w:t>
      </w:r>
      <w:r w:rsidRPr="002A6EDB">
        <w:rPr>
          <w:rFonts w:ascii="Times New Roman" w:hAnsi="Times New Roman" w:cs="Times New Roman"/>
          <w:color w:val="FF0000"/>
          <w:sz w:val="24"/>
          <w:szCs w:val="24"/>
        </w:rPr>
        <w:t xml:space="preserve"> </w:t>
      </w:r>
      <w:r w:rsidRPr="002A6EDB">
        <w:rPr>
          <w:rFonts w:ascii="Times New Roman" w:hAnsi="Times New Roman" w:cs="Times New Roman"/>
          <w:b/>
          <w:bCs/>
          <w:color w:val="FF0000"/>
          <w:sz w:val="24"/>
          <w:szCs w:val="24"/>
        </w:rPr>
        <w:t>спазването на принципа за „</w:t>
      </w:r>
      <w:proofErr w:type="spellStart"/>
      <w:r w:rsidRPr="002A6EDB">
        <w:rPr>
          <w:rFonts w:ascii="Times New Roman" w:hAnsi="Times New Roman" w:cs="Times New Roman"/>
          <w:b/>
          <w:bCs/>
          <w:color w:val="FF0000"/>
          <w:sz w:val="24"/>
          <w:szCs w:val="24"/>
        </w:rPr>
        <w:t>ненанасяне</w:t>
      </w:r>
      <w:proofErr w:type="spellEnd"/>
      <w:r w:rsidRPr="002A6EDB">
        <w:rPr>
          <w:rFonts w:ascii="Times New Roman" w:hAnsi="Times New Roman" w:cs="Times New Roman"/>
          <w:b/>
          <w:bCs/>
          <w:color w:val="FF0000"/>
          <w:sz w:val="24"/>
          <w:szCs w:val="24"/>
        </w:rPr>
        <w:t xml:space="preserve"> на значителни вреди”, ако при:</w:t>
      </w:r>
    </w:p>
    <w:p w14:paraId="3A23C71E"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b/>
          <w:sz w:val="24"/>
          <w:szCs w:val="24"/>
        </w:rPr>
        <w:t>1) смекчаването на изменението на климата</w:t>
      </w:r>
      <w:r w:rsidRPr="002A6EDB">
        <w:rPr>
          <w:rFonts w:ascii="Times New Roman" w:hAnsi="Times New Roman" w:cs="Times New Roman"/>
          <w:sz w:val="24"/>
          <w:szCs w:val="24"/>
        </w:rPr>
        <w:t>, когато тази дейност води до значителни емисии на парникови газове;</w:t>
      </w:r>
    </w:p>
    <w:p w14:paraId="099A9F3F"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b/>
          <w:sz w:val="24"/>
          <w:szCs w:val="24"/>
        </w:rPr>
        <w:t>2) адаптирането към изменението на климата</w:t>
      </w:r>
      <w:r w:rsidRPr="002A6EDB">
        <w:rPr>
          <w:rFonts w:ascii="Times New Roman" w:hAnsi="Times New Roman" w:cs="Times New Roman"/>
          <w:sz w:val="24"/>
          <w:szCs w:val="24"/>
        </w:rPr>
        <w:t>, когато тази дейност води до увеличаване на неблагоприятното въздействие на настоящия климат и на очаквания бъдещ климат върху самата дейност, или върху населението, природата или активите;</w:t>
      </w:r>
    </w:p>
    <w:p w14:paraId="0BDBE318"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b/>
          <w:sz w:val="24"/>
          <w:szCs w:val="24"/>
        </w:rPr>
        <w:t>3) устойчивото използване и опазването на водните и морските ресурси</w:t>
      </w:r>
      <w:r w:rsidRPr="002A6EDB">
        <w:rPr>
          <w:rFonts w:ascii="Times New Roman" w:hAnsi="Times New Roman" w:cs="Times New Roman"/>
          <w:sz w:val="24"/>
          <w:szCs w:val="24"/>
        </w:rPr>
        <w:t>, когато тази дейност влошава:</w:t>
      </w:r>
    </w:p>
    <w:p w14:paraId="0DA3D3D5"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 доброто състояние или добрия екологичен потенциал на водните обекти, включително на повърхностните и подземните води; или</w:t>
      </w:r>
    </w:p>
    <w:p w14:paraId="61024A20"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 доброто екологично състояние на морските води;</w:t>
      </w:r>
    </w:p>
    <w:p w14:paraId="2FE28CDC"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b/>
          <w:sz w:val="24"/>
          <w:szCs w:val="24"/>
        </w:rPr>
        <w:t>4) кръговата икономика</w:t>
      </w:r>
      <w:r w:rsidRPr="002A6EDB">
        <w:rPr>
          <w:rFonts w:ascii="Times New Roman" w:hAnsi="Times New Roman" w:cs="Times New Roman"/>
          <w:sz w:val="24"/>
          <w:szCs w:val="24"/>
        </w:rPr>
        <w:t xml:space="preserve">, </w:t>
      </w:r>
      <w:r w:rsidRPr="002A6EDB">
        <w:rPr>
          <w:rFonts w:ascii="Times New Roman" w:hAnsi="Times New Roman" w:cs="Times New Roman"/>
          <w:b/>
          <w:sz w:val="24"/>
          <w:szCs w:val="24"/>
        </w:rPr>
        <w:t>включително предотвратяването на образуването на отпадъци и тяхното рециклиране</w:t>
      </w:r>
      <w:r w:rsidRPr="002A6EDB">
        <w:rPr>
          <w:rFonts w:ascii="Times New Roman" w:hAnsi="Times New Roman" w:cs="Times New Roman"/>
          <w:sz w:val="24"/>
          <w:szCs w:val="24"/>
        </w:rPr>
        <w:t>, когато:</w:t>
      </w:r>
    </w:p>
    <w:p w14:paraId="2142A898"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 xml:space="preserve">- тази дейност води до значителна неефективност при използването на материали или при прякото или непряко използване на природни ресурси като </w:t>
      </w:r>
      <w:proofErr w:type="spellStart"/>
      <w:r w:rsidRPr="002A6EDB">
        <w:rPr>
          <w:rFonts w:ascii="Times New Roman" w:hAnsi="Times New Roman" w:cs="Times New Roman"/>
          <w:sz w:val="24"/>
          <w:szCs w:val="24"/>
        </w:rPr>
        <w:t>невъзобновяеми</w:t>
      </w:r>
      <w:proofErr w:type="spellEnd"/>
      <w:r w:rsidRPr="002A6EDB">
        <w:rPr>
          <w:rFonts w:ascii="Times New Roman" w:hAnsi="Times New Roman" w:cs="Times New Roman"/>
          <w:sz w:val="24"/>
          <w:szCs w:val="24"/>
        </w:rPr>
        <w:t xml:space="preserve"> източници на енергия, суровини, вода и земя, на един или повече етапи от жизнения цикъл на продуктите, включително по отношение на трайността и на възможностите за поправка, осъвременяването, повторната употреба или рециклирането на продуктите;</w:t>
      </w:r>
    </w:p>
    <w:p w14:paraId="154A8C70"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 xml:space="preserve">- тази дейност води до значително увеличаване на образуването, изгарянето или обезвреждането на отпадъци, с изключение на изгарянето на </w:t>
      </w:r>
      <w:proofErr w:type="spellStart"/>
      <w:r w:rsidRPr="002A6EDB">
        <w:rPr>
          <w:rFonts w:ascii="Times New Roman" w:hAnsi="Times New Roman" w:cs="Times New Roman"/>
          <w:sz w:val="24"/>
          <w:szCs w:val="24"/>
        </w:rPr>
        <w:t>нерециклируеми</w:t>
      </w:r>
      <w:proofErr w:type="spellEnd"/>
      <w:r w:rsidRPr="002A6EDB">
        <w:rPr>
          <w:rFonts w:ascii="Times New Roman" w:hAnsi="Times New Roman" w:cs="Times New Roman"/>
          <w:sz w:val="24"/>
          <w:szCs w:val="24"/>
        </w:rPr>
        <w:t xml:space="preserve"> опасни отпадъци; или</w:t>
      </w:r>
    </w:p>
    <w:p w14:paraId="67FA6785"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 дългосрочното обезвреждане на отпадъци може да причини значителни и дългосрочни вреди на околната среда;</w:t>
      </w:r>
    </w:p>
    <w:p w14:paraId="0C625A6C"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b/>
          <w:sz w:val="24"/>
          <w:szCs w:val="24"/>
        </w:rPr>
        <w:t>5) предотвратяването и контрола на замърсяването</w:t>
      </w:r>
      <w:r w:rsidRPr="002A6EDB">
        <w:rPr>
          <w:rFonts w:ascii="Times New Roman" w:hAnsi="Times New Roman" w:cs="Times New Roman"/>
          <w:sz w:val="24"/>
          <w:szCs w:val="24"/>
        </w:rPr>
        <w:t>, когато тази дейност води до значително увеличение на емисиите на замърсители във въздуха, водата или почвата в сравнение с положението преди започването на дейността; или</w:t>
      </w:r>
    </w:p>
    <w:p w14:paraId="34339370"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b/>
          <w:sz w:val="24"/>
          <w:szCs w:val="24"/>
        </w:rPr>
        <w:t>6) защитата и възстановяването на биологичното разнообразие и екосистемите</w:t>
      </w:r>
      <w:r w:rsidRPr="002A6EDB">
        <w:rPr>
          <w:rFonts w:ascii="Times New Roman" w:hAnsi="Times New Roman" w:cs="Times New Roman"/>
          <w:sz w:val="24"/>
          <w:szCs w:val="24"/>
        </w:rPr>
        <w:t>, когато тази дейност:</w:t>
      </w:r>
    </w:p>
    <w:p w14:paraId="39ABFDFD"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 влошава в значителна степен доброто състояние и устойчивостта на екосистемите; или</w:t>
      </w:r>
    </w:p>
    <w:p w14:paraId="163BA5A2"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 влошава природозащитния статус на местообитанията и видовете, включително тези от интерес за Съюза.</w:t>
      </w:r>
    </w:p>
    <w:p w14:paraId="094DFFB6" w14:textId="581DD871" w:rsid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 xml:space="preserve">В съответствие с Регламента за Механизма за възстановяване и устойчивост и съответно, </w:t>
      </w:r>
      <w:r w:rsidRPr="002A6EDB">
        <w:rPr>
          <w:rFonts w:ascii="Times New Roman" w:hAnsi="Times New Roman" w:cs="Times New Roman"/>
          <w:b/>
          <w:bCs/>
          <w:sz w:val="24"/>
          <w:szCs w:val="24"/>
        </w:rPr>
        <w:t>за да е налице</w:t>
      </w:r>
      <w:r w:rsidRPr="002A6EDB">
        <w:rPr>
          <w:rFonts w:ascii="Times New Roman" w:hAnsi="Times New Roman" w:cs="Times New Roman"/>
          <w:sz w:val="24"/>
          <w:szCs w:val="24"/>
        </w:rPr>
        <w:t xml:space="preserve"> спазване на принципа за „</w:t>
      </w:r>
      <w:proofErr w:type="spellStart"/>
      <w:r w:rsidRPr="002A6EDB">
        <w:rPr>
          <w:rFonts w:ascii="Times New Roman" w:hAnsi="Times New Roman" w:cs="Times New Roman"/>
          <w:sz w:val="24"/>
          <w:szCs w:val="24"/>
        </w:rPr>
        <w:t>ненанасяне</w:t>
      </w:r>
      <w:proofErr w:type="spellEnd"/>
      <w:r w:rsidRPr="002A6EDB">
        <w:rPr>
          <w:rFonts w:ascii="Times New Roman" w:hAnsi="Times New Roman" w:cs="Times New Roman"/>
          <w:sz w:val="24"/>
          <w:szCs w:val="24"/>
        </w:rPr>
        <w:t xml:space="preserve"> на значителни вреди“, всички предвидени инвестиции от кандидатите (крайните получатели) по настоящата процедура, </w:t>
      </w:r>
      <w:r w:rsidRPr="002A6EDB">
        <w:rPr>
          <w:rFonts w:ascii="Times New Roman" w:hAnsi="Times New Roman" w:cs="Times New Roman"/>
          <w:b/>
          <w:bCs/>
          <w:sz w:val="24"/>
          <w:szCs w:val="24"/>
        </w:rPr>
        <w:t>следва да не водят до „</w:t>
      </w:r>
      <w:r w:rsidRPr="002A6EDB">
        <w:rPr>
          <w:rFonts w:ascii="Times New Roman" w:hAnsi="Times New Roman" w:cs="Times New Roman"/>
          <w:sz w:val="24"/>
          <w:szCs w:val="24"/>
        </w:rPr>
        <w:t>значителни вреди“ за всеки един от горепосочените шест екологични цели.</w:t>
      </w:r>
    </w:p>
    <w:p w14:paraId="2EE8793D" w14:textId="77777777" w:rsidR="00944D25" w:rsidRPr="00E678B6" w:rsidRDefault="00944D25" w:rsidP="00944D25">
      <w:pPr>
        <w:spacing w:after="0" w:line="276" w:lineRule="auto"/>
        <w:jc w:val="both"/>
        <w:rPr>
          <w:rFonts w:ascii="Times New Roman" w:hAnsi="Times New Roman" w:cs="Times New Roman"/>
          <w:sz w:val="24"/>
          <w:szCs w:val="24"/>
        </w:rPr>
      </w:pPr>
      <w:r w:rsidRPr="00E678B6">
        <w:rPr>
          <w:rFonts w:ascii="Times New Roman" w:hAnsi="Times New Roman" w:cs="Times New Roman"/>
          <w:sz w:val="24"/>
          <w:szCs w:val="24"/>
        </w:rPr>
        <w:t>Във връзка с ограниченията, посочени в Приложението към Решението, с което е одобрена оценката на Плана за възстановяване и устойчивост на България, и с оглед съответствие на процедурата с Известие на Комисията – „Технически насоки за прилагането на принципа за „</w:t>
      </w:r>
      <w:proofErr w:type="spellStart"/>
      <w:r w:rsidRPr="00E678B6">
        <w:rPr>
          <w:rFonts w:ascii="Times New Roman" w:hAnsi="Times New Roman" w:cs="Times New Roman"/>
          <w:sz w:val="24"/>
          <w:szCs w:val="24"/>
        </w:rPr>
        <w:t>ненанасяне</w:t>
      </w:r>
      <w:proofErr w:type="spellEnd"/>
      <w:r w:rsidRPr="00E678B6">
        <w:rPr>
          <w:rFonts w:ascii="Times New Roman" w:hAnsi="Times New Roman" w:cs="Times New Roman"/>
          <w:sz w:val="24"/>
          <w:szCs w:val="24"/>
        </w:rPr>
        <w:t xml:space="preserve"> на значителни вреди” съгласно Регламента за Механизма за възстановяване и устойчивост (2021/C58/01)”, и гарантиране в максимална степен на спазването на принципа за „</w:t>
      </w:r>
      <w:proofErr w:type="spellStart"/>
      <w:r w:rsidRPr="00E678B6">
        <w:rPr>
          <w:rFonts w:ascii="Times New Roman" w:hAnsi="Times New Roman" w:cs="Times New Roman"/>
          <w:sz w:val="24"/>
          <w:szCs w:val="24"/>
        </w:rPr>
        <w:t>ненанасяне</w:t>
      </w:r>
      <w:proofErr w:type="spellEnd"/>
      <w:r w:rsidRPr="00E678B6">
        <w:rPr>
          <w:rFonts w:ascii="Times New Roman" w:hAnsi="Times New Roman" w:cs="Times New Roman"/>
          <w:sz w:val="24"/>
          <w:szCs w:val="24"/>
        </w:rPr>
        <w:t xml:space="preserve"> на значителни вреди”, за целите на настоящата процедура няма да се подкрепят:</w:t>
      </w:r>
    </w:p>
    <w:p w14:paraId="277FDDF2" w14:textId="77777777" w:rsidR="00944D25" w:rsidRPr="00E678B6" w:rsidRDefault="00944D25" w:rsidP="00944D25">
      <w:pPr>
        <w:spacing w:after="0" w:line="276" w:lineRule="auto"/>
        <w:jc w:val="both"/>
        <w:rPr>
          <w:rFonts w:ascii="Times New Roman" w:hAnsi="Times New Roman" w:cs="Times New Roman"/>
          <w:sz w:val="24"/>
          <w:szCs w:val="24"/>
        </w:rPr>
      </w:pPr>
      <w:r w:rsidRPr="00E678B6">
        <w:rPr>
          <w:rFonts w:ascii="Times New Roman" w:hAnsi="Times New Roman" w:cs="Times New Roman"/>
          <w:sz w:val="24"/>
          <w:szCs w:val="24"/>
        </w:rPr>
        <w:t>- дейностите и активите, свързани с изкопаеми горива, включително използване надолу по веригата</w:t>
      </w:r>
      <w:r>
        <w:rPr>
          <w:rStyle w:val="FootnoteReference"/>
          <w:rFonts w:ascii="Times New Roman" w:hAnsi="Times New Roman" w:cs="Times New Roman"/>
          <w:sz w:val="24"/>
          <w:szCs w:val="24"/>
        </w:rPr>
        <w:footnoteReference w:id="1"/>
      </w:r>
      <w:r>
        <w:rPr>
          <w:rFonts w:ascii="Times New Roman" w:hAnsi="Times New Roman" w:cs="Times New Roman"/>
          <w:sz w:val="24"/>
          <w:szCs w:val="24"/>
        </w:rPr>
        <w:t>;</w:t>
      </w:r>
    </w:p>
    <w:p w14:paraId="6F725D03" w14:textId="77777777" w:rsidR="00944D25" w:rsidRPr="00E678B6" w:rsidRDefault="00944D25" w:rsidP="00944D25">
      <w:pPr>
        <w:spacing w:after="0" w:line="276" w:lineRule="auto"/>
        <w:jc w:val="both"/>
        <w:rPr>
          <w:rFonts w:ascii="Times New Roman" w:hAnsi="Times New Roman" w:cs="Times New Roman"/>
          <w:sz w:val="24"/>
          <w:szCs w:val="24"/>
        </w:rPr>
      </w:pPr>
      <w:r w:rsidRPr="00E678B6">
        <w:rPr>
          <w:rFonts w:ascii="Times New Roman" w:hAnsi="Times New Roman" w:cs="Times New Roman"/>
          <w:sz w:val="24"/>
          <w:szCs w:val="24"/>
        </w:rPr>
        <w:lastRenderedPageBreak/>
        <w:t>- дейностите и активите по схемата на ЕС за търговия с емисии, при които прогнозните емисии на парникови газове не са по-ниски от съответните референтни стойности</w:t>
      </w:r>
      <w:r>
        <w:rPr>
          <w:rStyle w:val="FootnoteReference"/>
          <w:rFonts w:ascii="Times New Roman" w:hAnsi="Times New Roman" w:cs="Times New Roman"/>
          <w:sz w:val="24"/>
          <w:szCs w:val="24"/>
        </w:rPr>
        <w:footnoteReference w:id="2"/>
      </w:r>
      <w:r w:rsidRPr="00E678B6">
        <w:rPr>
          <w:rFonts w:ascii="Times New Roman" w:hAnsi="Times New Roman" w:cs="Times New Roman"/>
          <w:sz w:val="24"/>
          <w:szCs w:val="24"/>
        </w:rPr>
        <w:t>;</w:t>
      </w:r>
    </w:p>
    <w:p w14:paraId="11671C9A" w14:textId="77777777" w:rsidR="00944D25" w:rsidRPr="00E678B6" w:rsidRDefault="00944D25" w:rsidP="00944D25">
      <w:pPr>
        <w:spacing w:after="0" w:line="276" w:lineRule="auto"/>
        <w:jc w:val="both"/>
        <w:rPr>
          <w:rFonts w:ascii="Times New Roman" w:hAnsi="Times New Roman" w:cs="Times New Roman"/>
          <w:sz w:val="24"/>
          <w:szCs w:val="24"/>
        </w:rPr>
      </w:pPr>
      <w:r w:rsidRPr="00E678B6">
        <w:rPr>
          <w:rFonts w:ascii="Times New Roman" w:hAnsi="Times New Roman" w:cs="Times New Roman"/>
          <w:sz w:val="24"/>
          <w:szCs w:val="24"/>
        </w:rPr>
        <w:t>- дейностите и активите, свързани със сметища, инсталации за изгаряне на отпадъци</w:t>
      </w:r>
      <w:r>
        <w:rPr>
          <w:rStyle w:val="FootnoteReference"/>
          <w:rFonts w:ascii="Times New Roman" w:hAnsi="Times New Roman" w:cs="Times New Roman"/>
          <w:sz w:val="24"/>
          <w:szCs w:val="24"/>
        </w:rPr>
        <w:footnoteReference w:id="3"/>
      </w:r>
      <w:r w:rsidRPr="00E678B6">
        <w:rPr>
          <w:rFonts w:ascii="Times New Roman" w:hAnsi="Times New Roman" w:cs="Times New Roman"/>
          <w:sz w:val="24"/>
          <w:szCs w:val="24"/>
        </w:rPr>
        <w:t xml:space="preserve"> и заводи за механично-биологично третиране</w:t>
      </w:r>
      <w:r>
        <w:rPr>
          <w:rStyle w:val="FootnoteReference"/>
          <w:rFonts w:ascii="Times New Roman" w:hAnsi="Times New Roman" w:cs="Times New Roman"/>
          <w:sz w:val="24"/>
          <w:szCs w:val="24"/>
        </w:rPr>
        <w:footnoteReference w:id="4"/>
      </w:r>
      <w:r w:rsidRPr="00E678B6">
        <w:rPr>
          <w:rFonts w:ascii="Times New Roman" w:hAnsi="Times New Roman" w:cs="Times New Roman"/>
          <w:sz w:val="24"/>
          <w:szCs w:val="24"/>
        </w:rPr>
        <w:t>;</w:t>
      </w:r>
    </w:p>
    <w:p w14:paraId="3BC0F1A0" w14:textId="77777777" w:rsidR="00944D25" w:rsidRDefault="00944D25" w:rsidP="00944D25">
      <w:pPr>
        <w:spacing w:after="0" w:line="276" w:lineRule="auto"/>
        <w:jc w:val="both"/>
        <w:rPr>
          <w:rFonts w:ascii="Times New Roman" w:hAnsi="Times New Roman" w:cs="Times New Roman"/>
          <w:sz w:val="24"/>
          <w:szCs w:val="24"/>
        </w:rPr>
      </w:pPr>
      <w:r w:rsidRPr="00E678B6">
        <w:rPr>
          <w:rFonts w:ascii="Times New Roman" w:hAnsi="Times New Roman" w:cs="Times New Roman"/>
          <w:sz w:val="24"/>
          <w:szCs w:val="24"/>
        </w:rPr>
        <w:t>- дейностите и активите, при които дългосрочното обезвреждане на отпадъци може да причини вреда на околната среда.</w:t>
      </w:r>
    </w:p>
    <w:p w14:paraId="0C0559FF" w14:textId="77777777" w:rsidR="00944D25" w:rsidRPr="002A6EDB" w:rsidRDefault="00944D25" w:rsidP="002A6EDB">
      <w:pPr>
        <w:spacing w:after="0" w:line="276" w:lineRule="auto"/>
        <w:jc w:val="both"/>
        <w:rPr>
          <w:rFonts w:ascii="Times New Roman" w:hAnsi="Times New Roman" w:cs="Times New Roman"/>
          <w:sz w:val="24"/>
          <w:szCs w:val="24"/>
        </w:rPr>
      </w:pPr>
    </w:p>
    <w:p w14:paraId="1057A404" w14:textId="77777777" w:rsidR="002A6EDB" w:rsidRPr="002A6EDB" w:rsidRDefault="002A6EDB" w:rsidP="002A6EDB">
      <w:pPr>
        <w:spacing w:after="0" w:line="276" w:lineRule="auto"/>
        <w:jc w:val="both"/>
        <w:rPr>
          <w:rFonts w:ascii="Times New Roman" w:hAnsi="Times New Roman" w:cs="Times New Roman"/>
          <w:b/>
          <w:sz w:val="24"/>
          <w:szCs w:val="24"/>
        </w:rPr>
      </w:pPr>
      <w:r w:rsidRPr="002A6EDB">
        <w:rPr>
          <w:rFonts w:ascii="Times New Roman" w:hAnsi="Times New Roman" w:cs="Times New Roman"/>
          <w:b/>
          <w:sz w:val="24"/>
          <w:szCs w:val="24"/>
        </w:rPr>
        <w:t xml:space="preserve">ВАЖНО: </w:t>
      </w:r>
    </w:p>
    <w:p w14:paraId="0D3BD817" w14:textId="69275B59" w:rsidR="002A6EDB" w:rsidRPr="002A6EDB" w:rsidRDefault="002A6EDB" w:rsidP="002A6EDB">
      <w:pPr>
        <w:spacing w:after="0" w:line="276" w:lineRule="auto"/>
        <w:jc w:val="both"/>
        <w:rPr>
          <w:rFonts w:ascii="Times New Roman" w:hAnsi="Times New Roman" w:cs="Times New Roman"/>
          <w:color w:val="C45911" w:themeColor="accent2" w:themeShade="BF"/>
          <w:sz w:val="24"/>
          <w:szCs w:val="24"/>
        </w:rPr>
      </w:pPr>
      <w:r w:rsidRPr="002A6EDB">
        <w:rPr>
          <w:rFonts w:ascii="Times New Roman" w:hAnsi="Times New Roman" w:cs="Times New Roman"/>
          <w:b/>
          <w:bCs/>
          <w:sz w:val="24"/>
          <w:szCs w:val="24"/>
        </w:rPr>
        <w:t>Съблюдаването на принципа</w:t>
      </w:r>
      <w:r w:rsidRPr="002A6EDB">
        <w:rPr>
          <w:rFonts w:ascii="Times New Roman" w:hAnsi="Times New Roman" w:cs="Times New Roman"/>
          <w:b/>
          <w:sz w:val="24"/>
          <w:szCs w:val="24"/>
        </w:rPr>
        <w:t xml:space="preserve"> за „</w:t>
      </w:r>
      <w:proofErr w:type="spellStart"/>
      <w:r w:rsidRPr="002A6EDB">
        <w:rPr>
          <w:rFonts w:ascii="Times New Roman" w:hAnsi="Times New Roman" w:cs="Times New Roman"/>
          <w:b/>
          <w:sz w:val="24"/>
          <w:szCs w:val="24"/>
        </w:rPr>
        <w:t>ненанасяне</w:t>
      </w:r>
      <w:proofErr w:type="spellEnd"/>
      <w:r w:rsidRPr="002A6EDB">
        <w:rPr>
          <w:rFonts w:ascii="Times New Roman" w:hAnsi="Times New Roman" w:cs="Times New Roman"/>
          <w:b/>
          <w:sz w:val="24"/>
          <w:szCs w:val="24"/>
        </w:rPr>
        <w:t xml:space="preserve"> на значителни вреди“ ще се оценява за всеки един проект на ниво критерии за административна допустимост и оценка на качеството.</w:t>
      </w:r>
    </w:p>
    <w:p w14:paraId="4BDDAB65" w14:textId="636C5CB6" w:rsidR="002A6EDB" w:rsidRPr="002A6EDB" w:rsidRDefault="002A6EDB" w:rsidP="002A6EDB">
      <w:pPr>
        <w:spacing w:after="0" w:line="276" w:lineRule="auto"/>
        <w:jc w:val="both"/>
        <w:rPr>
          <w:rFonts w:ascii="Times New Roman" w:hAnsi="Times New Roman" w:cs="Times New Roman"/>
          <w:b/>
          <w:bCs/>
          <w:sz w:val="24"/>
          <w:szCs w:val="24"/>
        </w:rPr>
      </w:pPr>
      <w:r w:rsidRPr="002A6EDB">
        <w:rPr>
          <w:rFonts w:ascii="Times New Roman" w:hAnsi="Times New Roman" w:cs="Times New Roman"/>
          <w:b/>
          <w:bCs/>
          <w:sz w:val="24"/>
          <w:szCs w:val="24"/>
        </w:rPr>
        <w:t>Съблюдаването на принципа за „</w:t>
      </w:r>
      <w:proofErr w:type="spellStart"/>
      <w:r w:rsidRPr="002A6EDB">
        <w:rPr>
          <w:rFonts w:ascii="Times New Roman" w:hAnsi="Times New Roman" w:cs="Times New Roman"/>
          <w:b/>
          <w:bCs/>
          <w:sz w:val="24"/>
          <w:szCs w:val="24"/>
        </w:rPr>
        <w:t>ненанасяне</w:t>
      </w:r>
      <w:proofErr w:type="spellEnd"/>
      <w:r w:rsidRPr="002A6EDB">
        <w:rPr>
          <w:rFonts w:ascii="Times New Roman" w:hAnsi="Times New Roman" w:cs="Times New Roman"/>
          <w:b/>
          <w:bCs/>
          <w:sz w:val="24"/>
          <w:szCs w:val="24"/>
        </w:rPr>
        <w:t xml:space="preserve"> на значителни вреди“ се проследява първоначално на етап предварителен контрол преди одобрение на ПИИ. Съответствието с ПНЗВ е ключов критерии/изискване за допустимост на инвестициите по ПВУ. Междинен контрол </w:t>
      </w:r>
      <w:r w:rsidR="002A738A">
        <w:rPr>
          <w:rFonts w:ascii="Times New Roman" w:hAnsi="Times New Roman" w:cs="Times New Roman"/>
          <w:b/>
          <w:bCs/>
          <w:sz w:val="24"/>
          <w:szCs w:val="24"/>
        </w:rPr>
        <w:t xml:space="preserve">за </w:t>
      </w:r>
      <w:r w:rsidRPr="002A6EDB">
        <w:rPr>
          <w:rFonts w:ascii="Times New Roman" w:hAnsi="Times New Roman" w:cs="Times New Roman"/>
          <w:b/>
          <w:bCs/>
          <w:sz w:val="24"/>
          <w:szCs w:val="24"/>
        </w:rPr>
        <w:t>време</w:t>
      </w:r>
      <w:r w:rsidR="002A738A">
        <w:rPr>
          <w:rFonts w:ascii="Times New Roman" w:hAnsi="Times New Roman" w:cs="Times New Roman"/>
          <w:b/>
          <w:bCs/>
          <w:sz w:val="24"/>
          <w:szCs w:val="24"/>
        </w:rPr>
        <w:t>то</w:t>
      </w:r>
      <w:r w:rsidRPr="002A6EDB">
        <w:rPr>
          <w:rFonts w:ascii="Times New Roman" w:hAnsi="Times New Roman" w:cs="Times New Roman"/>
          <w:b/>
          <w:bCs/>
          <w:sz w:val="24"/>
          <w:szCs w:val="24"/>
        </w:rPr>
        <w:t xml:space="preserve"> на изпълнение на ПИИ </w:t>
      </w:r>
      <w:r w:rsidR="002A738A" w:rsidRPr="002A6EDB">
        <w:rPr>
          <w:rFonts w:ascii="Times New Roman" w:hAnsi="Times New Roman" w:cs="Times New Roman"/>
          <w:b/>
          <w:bCs/>
          <w:sz w:val="24"/>
          <w:szCs w:val="24"/>
        </w:rPr>
        <w:t xml:space="preserve">ще бъде </w:t>
      </w:r>
      <w:r w:rsidR="002A738A">
        <w:rPr>
          <w:rFonts w:ascii="Times New Roman" w:hAnsi="Times New Roman" w:cs="Times New Roman"/>
          <w:b/>
          <w:bCs/>
          <w:sz w:val="24"/>
          <w:szCs w:val="24"/>
        </w:rPr>
        <w:t>извършван към</w:t>
      </w:r>
      <w:r w:rsidRPr="002A6EDB">
        <w:rPr>
          <w:rFonts w:ascii="Times New Roman" w:hAnsi="Times New Roman" w:cs="Times New Roman"/>
          <w:b/>
          <w:bCs/>
          <w:sz w:val="24"/>
          <w:szCs w:val="24"/>
        </w:rPr>
        <w:t xml:space="preserve"> момента на изплащане на помощта. За удостоверяване на съответствието на подкрепените дейности с ПНЗВ до „края на проекта“, крайните получатели ще подлежат на контрол </w:t>
      </w:r>
      <w:r w:rsidR="002A738A">
        <w:rPr>
          <w:rFonts w:ascii="Times New Roman" w:hAnsi="Times New Roman" w:cs="Times New Roman"/>
          <w:b/>
          <w:bCs/>
          <w:sz w:val="24"/>
          <w:szCs w:val="24"/>
        </w:rPr>
        <w:t>в</w:t>
      </w:r>
      <w:r w:rsidRPr="002A6EDB">
        <w:rPr>
          <w:rFonts w:ascii="Times New Roman" w:hAnsi="Times New Roman" w:cs="Times New Roman"/>
          <w:b/>
          <w:bCs/>
          <w:sz w:val="24"/>
          <w:szCs w:val="24"/>
        </w:rPr>
        <w:t xml:space="preserve"> периода на мониторинг.</w:t>
      </w:r>
    </w:p>
    <w:p w14:paraId="12050EA5"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Допълнителна информация относно прилагането на принципа за „</w:t>
      </w:r>
      <w:proofErr w:type="spellStart"/>
      <w:r w:rsidRPr="002A6EDB">
        <w:rPr>
          <w:rFonts w:ascii="Times New Roman" w:hAnsi="Times New Roman" w:cs="Times New Roman"/>
          <w:sz w:val="24"/>
          <w:szCs w:val="24"/>
        </w:rPr>
        <w:t>ненанасяне</w:t>
      </w:r>
      <w:proofErr w:type="spellEnd"/>
      <w:r w:rsidRPr="002A6EDB">
        <w:rPr>
          <w:rFonts w:ascii="Times New Roman" w:hAnsi="Times New Roman" w:cs="Times New Roman"/>
          <w:sz w:val="24"/>
          <w:szCs w:val="24"/>
        </w:rPr>
        <w:t xml:space="preserve"> на значителни вреди“,  може да бъде намерена в Регламента за таксономията и в Известие на Комисията – „Технически насоки за прилагането на принципа за „</w:t>
      </w:r>
      <w:proofErr w:type="spellStart"/>
      <w:r w:rsidRPr="002A6EDB">
        <w:rPr>
          <w:rFonts w:ascii="Times New Roman" w:hAnsi="Times New Roman" w:cs="Times New Roman"/>
          <w:sz w:val="24"/>
          <w:szCs w:val="24"/>
        </w:rPr>
        <w:t>ненанасяне</w:t>
      </w:r>
      <w:proofErr w:type="spellEnd"/>
      <w:r w:rsidRPr="002A6EDB">
        <w:rPr>
          <w:rFonts w:ascii="Times New Roman" w:hAnsi="Times New Roman" w:cs="Times New Roman"/>
          <w:sz w:val="24"/>
          <w:szCs w:val="24"/>
        </w:rPr>
        <w:t xml:space="preserve"> на значителни вреди“ съгласно Регламента за Механизма за възстановяване и устойчивост (2021/C58/01)“, както и в свързаните с тях документи.</w:t>
      </w:r>
    </w:p>
    <w:p w14:paraId="670F9852" w14:textId="1D67B364" w:rsidR="002A6EDB" w:rsidRPr="002A6EDB" w:rsidRDefault="002A6EDB" w:rsidP="002A6EDB">
      <w:pPr>
        <w:spacing w:after="0" w:line="276" w:lineRule="auto"/>
        <w:jc w:val="both"/>
        <w:rPr>
          <w:rFonts w:ascii="Times New Roman" w:hAnsi="Times New Roman" w:cs="Times New Roman"/>
          <w:b/>
          <w:sz w:val="24"/>
          <w:szCs w:val="24"/>
        </w:rPr>
      </w:pPr>
    </w:p>
    <w:p w14:paraId="5C536D76" w14:textId="77777777" w:rsidR="002A6EDB" w:rsidRPr="002A6EDB" w:rsidRDefault="002A6EDB" w:rsidP="002A6EDB">
      <w:pPr>
        <w:spacing w:after="0" w:line="276" w:lineRule="auto"/>
        <w:jc w:val="both"/>
        <w:rPr>
          <w:rFonts w:ascii="Times New Roman" w:hAnsi="Times New Roman" w:cs="Times New Roman"/>
          <w:b/>
          <w:sz w:val="24"/>
          <w:szCs w:val="24"/>
        </w:rPr>
      </w:pPr>
      <w:r w:rsidRPr="002A6EDB">
        <w:rPr>
          <w:rFonts w:ascii="Times New Roman" w:hAnsi="Times New Roman" w:cs="Times New Roman"/>
          <w:b/>
          <w:sz w:val="24"/>
          <w:szCs w:val="24"/>
        </w:rPr>
        <w:t xml:space="preserve">ВАЖНО: </w:t>
      </w:r>
    </w:p>
    <w:p w14:paraId="079B2262" w14:textId="77777777" w:rsidR="002A6EDB" w:rsidRPr="002A6EDB" w:rsidRDefault="002A6EDB" w:rsidP="002A6EDB">
      <w:pPr>
        <w:spacing w:after="0" w:line="276" w:lineRule="auto"/>
        <w:jc w:val="both"/>
        <w:rPr>
          <w:rFonts w:ascii="Times New Roman" w:hAnsi="Times New Roman" w:cs="Times New Roman"/>
          <w:b/>
          <w:bCs/>
          <w:sz w:val="24"/>
          <w:szCs w:val="24"/>
        </w:rPr>
      </w:pPr>
      <w:r w:rsidRPr="002A6EDB">
        <w:rPr>
          <w:rFonts w:ascii="Times New Roman" w:hAnsi="Times New Roman" w:cs="Times New Roman"/>
          <w:sz w:val="24"/>
          <w:szCs w:val="24"/>
        </w:rPr>
        <w:t>Въз основа на Техническите насоки на Европейската Комисия за прилагане на принципа за „</w:t>
      </w:r>
      <w:proofErr w:type="spellStart"/>
      <w:r w:rsidRPr="002A6EDB">
        <w:rPr>
          <w:rFonts w:ascii="Times New Roman" w:hAnsi="Times New Roman" w:cs="Times New Roman"/>
          <w:sz w:val="24"/>
          <w:szCs w:val="24"/>
        </w:rPr>
        <w:t>ненанасяне</w:t>
      </w:r>
      <w:proofErr w:type="spellEnd"/>
      <w:r w:rsidRPr="002A6EDB">
        <w:rPr>
          <w:rFonts w:ascii="Times New Roman" w:hAnsi="Times New Roman" w:cs="Times New Roman"/>
          <w:sz w:val="24"/>
          <w:szCs w:val="24"/>
        </w:rPr>
        <w:t xml:space="preserve"> на значителни вреди“ (DNSH) съгласно Регламента за Механизма за възстановяване и устойчивост е необходимо да се изготви оценка </w:t>
      </w:r>
      <w:r w:rsidRPr="002A6EDB">
        <w:rPr>
          <w:rFonts w:ascii="Times New Roman" w:hAnsi="Times New Roman" w:cs="Times New Roman"/>
          <w:b/>
          <w:bCs/>
          <w:sz w:val="24"/>
          <w:szCs w:val="24"/>
        </w:rPr>
        <w:t>за всеки проект</w:t>
      </w:r>
      <w:r w:rsidRPr="002A6EDB">
        <w:rPr>
          <w:rFonts w:ascii="Times New Roman" w:hAnsi="Times New Roman" w:cs="Times New Roman"/>
          <w:sz w:val="24"/>
          <w:szCs w:val="24"/>
        </w:rPr>
        <w:t xml:space="preserve"> в съответствие с </w:t>
      </w:r>
      <w:r w:rsidRPr="002A6EDB">
        <w:rPr>
          <w:rFonts w:ascii="Times New Roman" w:hAnsi="Times New Roman" w:cs="Times New Roman"/>
          <w:b/>
          <w:bCs/>
          <w:sz w:val="24"/>
          <w:szCs w:val="24"/>
        </w:rPr>
        <w:t>контролни листа № 1 и 2</w:t>
      </w:r>
      <w:r w:rsidRPr="002A6EDB">
        <w:rPr>
          <w:rFonts w:ascii="Times New Roman" w:hAnsi="Times New Roman" w:cs="Times New Roman"/>
          <w:sz w:val="24"/>
          <w:szCs w:val="24"/>
        </w:rPr>
        <w:t xml:space="preserve"> (при необходимост), </w:t>
      </w:r>
      <w:r w:rsidRPr="002A6EDB">
        <w:rPr>
          <w:rFonts w:ascii="Times New Roman" w:hAnsi="Times New Roman" w:cs="Times New Roman"/>
          <w:b/>
          <w:bCs/>
          <w:sz w:val="24"/>
          <w:szCs w:val="24"/>
        </w:rPr>
        <w:t>описани по-надолу.</w:t>
      </w:r>
    </w:p>
    <w:p w14:paraId="6582CD43"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Формулярът за оценка е разделен на 2 части (контролни листи 1 и 2), обхващащи двата етапа на оценката поотделно за всяка от шестте екологични цели по Регламента за таксономията</w:t>
      </w:r>
    </w:p>
    <w:p w14:paraId="66095E00" w14:textId="77777777" w:rsidR="002A6EDB" w:rsidRPr="002A6EDB" w:rsidRDefault="002A6EDB" w:rsidP="002A6EDB">
      <w:pPr>
        <w:numPr>
          <w:ilvl w:val="0"/>
          <w:numId w:val="14"/>
        </w:numPr>
        <w:spacing w:after="0" w:line="276" w:lineRule="auto"/>
        <w:contextualSpacing/>
        <w:jc w:val="both"/>
        <w:rPr>
          <w:rFonts w:ascii="Times New Roman" w:hAnsi="Times New Roman" w:cs="Times New Roman"/>
          <w:sz w:val="24"/>
          <w:szCs w:val="24"/>
        </w:rPr>
      </w:pPr>
      <w:r w:rsidRPr="002A6EDB">
        <w:rPr>
          <w:rFonts w:ascii="Times New Roman" w:hAnsi="Times New Roman" w:cs="Times New Roman"/>
          <w:sz w:val="24"/>
          <w:szCs w:val="24"/>
        </w:rPr>
        <w:t>първият етап: обосноваване на липса на въздействие на конкретната инвестиция върху съответните екологични цели или наличието на обстоятелства, изключващи негативното въздействие</w:t>
      </w:r>
    </w:p>
    <w:p w14:paraId="10681DF7" w14:textId="77777777" w:rsidR="002A6EDB" w:rsidRPr="002A6EDB" w:rsidRDefault="002A6EDB" w:rsidP="002A6EDB">
      <w:pPr>
        <w:numPr>
          <w:ilvl w:val="0"/>
          <w:numId w:val="14"/>
        </w:numPr>
        <w:spacing w:after="0" w:line="276" w:lineRule="auto"/>
        <w:contextualSpacing/>
        <w:jc w:val="both"/>
        <w:rPr>
          <w:rFonts w:ascii="Times New Roman" w:hAnsi="Times New Roman" w:cs="Times New Roman"/>
          <w:sz w:val="24"/>
          <w:szCs w:val="24"/>
        </w:rPr>
      </w:pPr>
      <w:r w:rsidRPr="002A6EDB">
        <w:rPr>
          <w:rFonts w:ascii="Times New Roman" w:hAnsi="Times New Roman" w:cs="Times New Roman"/>
          <w:sz w:val="24"/>
          <w:szCs w:val="24"/>
        </w:rPr>
        <w:lastRenderedPageBreak/>
        <w:t>втория етап на детайлна оценка (към него се преминава само в случаите на констатирана на първия етап възможност за потенциално негативно въздействие)</w:t>
      </w:r>
    </w:p>
    <w:p w14:paraId="055238CB" w14:textId="77777777" w:rsidR="002A6EDB" w:rsidRPr="002A6EDB" w:rsidRDefault="002A6EDB" w:rsidP="002A6EDB">
      <w:pPr>
        <w:spacing w:after="0" w:line="276" w:lineRule="auto"/>
        <w:jc w:val="both"/>
        <w:rPr>
          <w:rFonts w:ascii="Times New Roman" w:hAnsi="Times New Roman" w:cs="Times New Roman"/>
          <w:sz w:val="24"/>
          <w:szCs w:val="24"/>
        </w:rPr>
      </w:pPr>
    </w:p>
    <w:p w14:paraId="3E596FBB"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 xml:space="preserve">Контролните листа се попълват </w:t>
      </w:r>
      <w:r w:rsidRPr="002A6EDB">
        <w:rPr>
          <w:rFonts w:ascii="Times New Roman" w:hAnsi="Times New Roman" w:cs="Times New Roman"/>
          <w:b/>
          <w:bCs/>
          <w:sz w:val="24"/>
          <w:szCs w:val="24"/>
        </w:rPr>
        <w:t>от всеки кандидат</w:t>
      </w:r>
      <w:r w:rsidRPr="002A6EDB">
        <w:rPr>
          <w:rFonts w:ascii="Times New Roman" w:hAnsi="Times New Roman" w:cs="Times New Roman"/>
          <w:sz w:val="24"/>
          <w:szCs w:val="24"/>
        </w:rPr>
        <w:t xml:space="preserve"> и се предоставят като </w:t>
      </w:r>
      <w:r w:rsidRPr="002A6EDB">
        <w:rPr>
          <w:rFonts w:ascii="Times New Roman" w:hAnsi="Times New Roman" w:cs="Times New Roman"/>
          <w:b/>
          <w:bCs/>
          <w:sz w:val="24"/>
          <w:szCs w:val="24"/>
        </w:rPr>
        <w:t>приложение</w:t>
      </w:r>
      <w:r w:rsidRPr="002A6EDB">
        <w:rPr>
          <w:rFonts w:ascii="Times New Roman" w:hAnsi="Times New Roman" w:cs="Times New Roman"/>
          <w:sz w:val="24"/>
          <w:szCs w:val="24"/>
        </w:rPr>
        <w:t xml:space="preserve"> към попълнения Формуляр за кандидатстване.</w:t>
      </w:r>
    </w:p>
    <w:p w14:paraId="08202451" w14:textId="77777777" w:rsidR="002A6EDB" w:rsidRPr="002A6EDB" w:rsidRDefault="002A6EDB" w:rsidP="002A6EDB">
      <w:pPr>
        <w:spacing w:after="0" w:line="276" w:lineRule="auto"/>
        <w:jc w:val="both"/>
        <w:rPr>
          <w:rFonts w:ascii="Times New Roman" w:hAnsi="Times New Roman" w:cs="Times New Roman"/>
          <w:b/>
          <w:sz w:val="24"/>
          <w:szCs w:val="24"/>
        </w:rPr>
      </w:pPr>
    </w:p>
    <w:p w14:paraId="541DE08F" w14:textId="77777777" w:rsidR="002A6EDB" w:rsidRPr="002A6EDB" w:rsidRDefault="002A6EDB" w:rsidP="002A6EDB">
      <w:pPr>
        <w:spacing w:after="0" w:line="276" w:lineRule="auto"/>
        <w:jc w:val="both"/>
        <w:rPr>
          <w:rFonts w:ascii="Times New Roman" w:hAnsi="Times New Roman" w:cs="Times New Roman"/>
          <w:b/>
          <w:sz w:val="24"/>
          <w:szCs w:val="24"/>
        </w:rPr>
      </w:pPr>
      <w:r w:rsidRPr="002A6EDB">
        <w:rPr>
          <w:rFonts w:ascii="Times New Roman" w:hAnsi="Times New Roman" w:cs="Times New Roman"/>
          <w:b/>
          <w:sz w:val="24"/>
          <w:szCs w:val="24"/>
        </w:rPr>
        <w:t xml:space="preserve">ВАЖНО: </w:t>
      </w:r>
    </w:p>
    <w:p w14:paraId="193CC371" w14:textId="77777777" w:rsidR="002A6EDB" w:rsidRPr="002A6EDB" w:rsidRDefault="002A6EDB" w:rsidP="002A6EDB">
      <w:pPr>
        <w:spacing w:after="0" w:line="276" w:lineRule="auto"/>
        <w:jc w:val="both"/>
        <w:rPr>
          <w:rFonts w:ascii="Times New Roman" w:hAnsi="Times New Roman" w:cs="Times New Roman"/>
          <w:b/>
          <w:bCs/>
          <w:sz w:val="24"/>
          <w:szCs w:val="24"/>
        </w:rPr>
      </w:pPr>
      <w:r w:rsidRPr="002A6EDB">
        <w:rPr>
          <w:rFonts w:ascii="Times New Roman" w:hAnsi="Times New Roman" w:cs="Times New Roman"/>
          <w:b/>
          <w:bCs/>
          <w:sz w:val="24"/>
          <w:szCs w:val="24"/>
        </w:rPr>
        <w:t>За проекти, които подлежат на процедура по ОВОС и за които към момента има издадено Решение по ОВОС или Решение за преценяване необходимостта от ОВОС, както и становище по внесено уведомление за инвестиционно намерение, е допустимо и желателно оценката да се извърши въз основа на информацията, която е част от документацията по ОВОС и е одобрена от страна на компетентния орган.</w:t>
      </w:r>
    </w:p>
    <w:p w14:paraId="4B227255" w14:textId="77777777" w:rsidR="002A6EDB" w:rsidRPr="002A6EDB" w:rsidRDefault="002A6EDB" w:rsidP="002A6EDB">
      <w:pPr>
        <w:spacing w:after="0" w:line="276" w:lineRule="auto"/>
        <w:jc w:val="both"/>
        <w:rPr>
          <w:rFonts w:ascii="Times New Roman" w:hAnsi="Times New Roman" w:cs="Times New Roman"/>
          <w:b/>
          <w:bCs/>
          <w:i/>
          <w:iCs/>
          <w:sz w:val="24"/>
          <w:szCs w:val="24"/>
        </w:rPr>
      </w:pPr>
      <w:r w:rsidRPr="002A6EDB">
        <w:rPr>
          <w:rFonts w:ascii="Times New Roman" w:hAnsi="Times New Roman" w:cs="Times New Roman"/>
          <w:b/>
          <w:bCs/>
          <w:i/>
          <w:iCs/>
          <w:sz w:val="24"/>
          <w:szCs w:val="24"/>
        </w:rPr>
        <w:t>Приложения:</w:t>
      </w:r>
    </w:p>
    <w:p w14:paraId="03890E22" w14:textId="77777777" w:rsidR="002A6EDB" w:rsidRPr="002A6EDB" w:rsidRDefault="002A6EDB" w:rsidP="002A6EDB">
      <w:pPr>
        <w:spacing w:after="0" w:line="276" w:lineRule="auto"/>
        <w:ind w:left="1843" w:hanging="1843"/>
        <w:jc w:val="both"/>
        <w:rPr>
          <w:rFonts w:ascii="Times New Roman" w:hAnsi="Times New Roman" w:cs="Times New Roman"/>
          <w:i/>
          <w:iCs/>
          <w:sz w:val="24"/>
          <w:szCs w:val="24"/>
        </w:rPr>
      </w:pPr>
      <w:r w:rsidRPr="002A6EDB">
        <w:rPr>
          <w:rFonts w:ascii="Times New Roman" w:hAnsi="Times New Roman" w:cs="Times New Roman"/>
          <w:i/>
          <w:iCs/>
          <w:sz w:val="24"/>
          <w:szCs w:val="24"/>
        </w:rPr>
        <w:t xml:space="preserve">Приложение 1: </w:t>
      </w:r>
      <w:r w:rsidRPr="002A6EDB">
        <w:rPr>
          <w:rFonts w:ascii="Times New Roman" w:hAnsi="Times New Roman" w:cs="Times New Roman"/>
          <w:i/>
          <w:iCs/>
          <w:sz w:val="24"/>
          <w:szCs w:val="24"/>
        </w:rPr>
        <w:tab/>
      </w:r>
      <w:bookmarkStart w:id="1" w:name="_Hlk121405515"/>
      <w:r w:rsidRPr="002A6EDB">
        <w:rPr>
          <w:rFonts w:ascii="Times New Roman" w:hAnsi="Times New Roman" w:cs="Times New Roman"/>
          <w:i/>
          <w:iCs/>
          <w:sz w:val="24"/>
          <w:szCs w:val="24"/>
        </w:rPr>
        <w:t>Приложение VI от Регламент (ЕС) 2021/241 на Европейския парламент и на съвета</w:t>
      </w:r>
      <w:bookmarkEnd w:id="1"/>
    </w:p>
    <w:p w14:paraId="3BEFED5E" w14:textId="77777777" w:rsidR="002A6EDB" w:rsidRPr="002A6EDB" w:rsidRDefault="002A6EDB" w:rsidP="002A6EDB">
      <w:pPr>
        <w:spacing w:after="0" w:line="276" w:lineRule="auto"/>
        <w:ind w:left="2880"/>
        <w:jc w:val="both"/>
        <w:rPr>
          <w:rFonts w:ascii="Times New Roman" w:hAnsi="Times New Roman" w:cs="Times New Roman"/>
          <w:i/>
          <w:iCs/>
          <w:sz w:val="24"/>
          <w:szCs w:val="24"/>
        </w:rPr>
      </w:pPr>
      <w:r w:rsidRPr="002A6EDB">
        <w:rPr>
          <w:rFonts w:ascii="Times New Roman" w:hAnsi="Times New Roman" w:cs="Times New Roman"/>
          <w:b/>
          <w:bCs/>
          <w:i/>
          <w:iCs/>
          <w:sz w:val="24"/>
          <w:szCs w:val="24"/>
        </w:rPr>
        <w:t xml:space="preserve">Приложение 1: </w:t>
      </w:r>
      <w:r w:rsidRPr="002A6EDB">
        <w:rPr>
          <w:rFonts w:ascii="Times New Roman" w:hAnsi="Times New Roman" w:cs="Times New Roman"/>
          <w:i/>
          <w:iCs/>
          <w:sz w:val="24"/>
          <w:szCs w:val="24"/>
        </w:rPr>
        <w:t>Приложение VI от Регламент (ЕС) 2021/241 на Европейския парламент и на съвета</w:t>
      </w:r>
    </w:p>
    <w:p w14:paraId="7E71FFC5" w14:textId="77777777" w:rsidR="002A6EDB" w:rsidRPr="002A6EDB" w:rsidRDefault="002A6EDB" w:rsidP="002A6EDB">
      <w:pPr>
        <w:shd w:val="clear" w:color="auto" w:fill="FFFFFF"/>
        <w:spacing w:after="0" w:line="276" w:lineRule="auto"/>
        <w:jc w:val="both"/>
        <w:rPr>
          <w:rFonts w:ascii="Times New Roman" w:eastAsia="Times New Roman" w:hAnsi="Times New Roman" w:cs="Times New Roman"/>
          <w:b/>
          <w:bCs/>
          <w:color w:val="000000"/>
          <w:sz w:val="24"/>
          <w:szCs w:val="24"/>
          <w:lang w:eastAsia="bg-BG"/>
        </w:rPr>
      </w:pPr>
      <w:r w:rsidRPr="002A6EDB">
        <w:rPr>
          <w:rFonts w:ascii="Times New Roman" w:eastAsia="Times New Roman" w:hAnsi="Times New Roman" w:cs="Times New Roman"/>
          <w:b/>
          <w:bCs/>
          <w:color w:val="000000"/>
          <w:sz w:val="24"/>
          <w:szCs w:val="24"/>
          <w:lang w:eastAsia="bg-BG"/>
        </w:rPr>
        <w:t>ПРИЛОЖЕНИЕ VI</w:t>
      </w:r>
    </w:p>
    <w:p w14:paraId="766E137C" w14:textId="77777777" w:rsidR="002A6EDB" w:rsidRPr="002A6EDB" w:rsidRDefault="002A6EDB" w:rsidP="002A6EDB">
      <w:pPr>
        <w:shd w:val="clear" w:color="auto" w:fill="FFFFFF"/>
        <w:spacing w:after="0" w:line="276" w:lineRule="auto"/>
        <w:jc w:val="both"/>
        <w:rPr>
          <w:rFonts w:ascii="Times New Roman" w:eastAsia="Times New Roman" w:hAnsi="Times New Roman" w:cs="Times New Roman"/>
          <w:b/>
          <w:bCs/>
          <w:color w:val="000000"/>
          <w:sz w:val="24"/>
          <w:szCs w:val="24"/>
          <w:lang w:eastAsia="bg-BG"/>
        </w:rPr>
      </w:pPr>
      <w:r w:rsidRPr="002A6EDB">
        <w:rPr>
          <w:rFonts w:ascii="Times New Roman" w:eastAsia="Times New Roman" w:hAnsi="Times New Roman" w:cs="Times New Roman"/>
          <w:b/>
          <w:bCs/>
          <w:color w:val="000000"/>
          <w:sz w:val="24"/>
          <w:szCs w:val="24"/>
          <w:lang w:eastAsia="bg-BG"/>
        </w:rPr>
        <w:t>Методология за проследяване на действията в областта на климата</w:t>
      </w:r>
    </w:p>
    <w:p w14:paraId="77EE840A"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eastAsia="Times New Roman" w:hAnsi="Times New Roman" w:cs="Times New Roman"/>
          <w:color w:val="000000"/>
          <w:sz w:val="24"/>
          <w:szCs w:val="24"/>
          <w:lang w:eastAsia="bg-BG"/>
        </w:rPr>
        <w:t>Размери и кодове за видовете намеси за Механизма</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602"/>
        <w:gridCol w:w="4901"/>
        <w:gridCol w:w="2099"/>
        <w:gridCol w:w="2021"/>
      </w:tblGrid>
      <w:tr w:rsidR="002A6EDB" w:rsidRPr="002A6EDB" w14:paraId="03C654D7"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44C678D" w14:textId="77777777" w:rsidR="002A6EDB" w:rsidRPr="002A6EDB" w:rsidRDefault="002A6EDB" w:rsidP="002A6EDB">
            <w:pPr>
              <w:spacing w:after="0" w:line="276" w:lineRule="auto"/>
              <w:jc w:val="both"/>
              <w:rPr>
                <w:rFonts w:ascii="Times New Roman" w:hAnsi="Times New Roman" w:cs="Times New Roman"/>
                <w:sz w:val="24"/>
                <w:szCs w:val="24"/>
              </w:rPr>
            </w:pPr>
          </w:p>
          <w:p w14:paraId="522D3FB3" w14:textId="77777777" w:rsidR="002A6EDB" w:rsidRPr="002A6EDB" w:rsidRDefault="002A6EDB" w:rsidP="002A6EDB">
            <w:pPr>
              <w:spacing w:after="0" w:line="276" w:lineRule="auto"/>
              <w:jc w:val="both"/>
              <w:rPr>
                <w:rFonts w:ascii="Times New Roman" w:hAnsi="Times New Roman"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CF187B3" w14:textId="77777777" w:rsidR="002A6EDB" w:rsidRPr="002A6EDB" w:rsidRDefault="002A6EDB" w:rsidP="002A6EDB">
            <w:pPr>
              <w:spacing w:after="0" w:line="276" w:lineRule="auto"/>
              <w:jc w:val="both"/>
              <w:rPr>
                <w:rFonts w:ascii="Times New Roman" w:hAnsi="Times New Roman" w:cs="Times New Roman"/>
                <w:b/>
                <w:bCs/>
                <w:sz w:val="24"/>
                <w:szCs w:val="24"/>
              </w:rPr>
            </w:pPr>
            <w:r w:rsidRPr="002A6EDB">
              <w:rPr>
                <w:rFonts w:ascii="Times New Roman" w:hAnsi="Times New Roman" w:cs="Times New Roman"/>
                <w:b/>
                <w:bCs/>
                <w:sz w:val="24"/>
                <w:szCs w:val="24"/>
              </w:rPr>
              <w:t>ОБЛАСТ НА НАМЕСА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8EFB76B" w14:textId="77777777" w:rsidR="002A6EDB" w:rsidRPr="002A6EDB" w:rsidRDefault="002A6EDB" w:rsidP="002C2350">
            <w:pPr>
              <w:spacing w:after="0" w:line="276" w:lineRule="auto"/>
              <w:jc w:val="center"/>
              <w:rPr>
                <w:rFonts w:ascii="Times New Roman" w:hAnsi="Times New Roman" w:cs="Times New Roman"/>
                <w:b/>
                <w:bCs/>
                <w:sz w:val="24"/>
                <w:szCs w:val="24"/>
              </w:rPr>
            </w:pPr>
            <w:r w:rsidRPr="002A6EDB">
              <w:rPr>
                <w:rFonts w:ascii="Times New Roman" w:hAnsi="Times New Roman" w:cs="Times New Roman"/>
                <w:b/>
                <w:bCs/>
                <w:sz w:val="24"/>
                <w:szCs w:val="24"/>
              </w:rPr>
              <w:t>Коефициент за изчисляване на подкрепата за целите във връзка с изменението на климата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F5C5219" w14:textId="77777777" w:rsidR="002A6EDB" w:rsidRPr="002A6EDB" w:rsidRDefault="002A6EDB" w:rsidP="002C2350">
            <w:pPr>
              <w:spacing w:after="0" w:line="276" w:lineRule="auto"/>
              <w:jc w:val="center"/>
              <w:rPr>
                <w:rFonts w:ascii="Times New Roman" w:hAnsi="Times New Roman" w:cs="Times New Roman"/>
                <w:b/>
                <w:bCs/>
                <w:sz w:val="24"/>
                <w:szCs w:val="24"/>
              </w:rPr>
            </w:pPr>
            <w:r w:rsidRPr="002A6EDB">
              <w:rPr>
                <w:rFonts w:ascii="Times New Roman" w:hAnsi="Times New Roman" w:cs="Times New Roman"/>
                <w:b/>
                <w:bCs/>
                <w:sz w:val="24"/>
                <w:szCs w:val="24"/>
              </w:rPr>
              <w:t>Коефициент за изчисляване на подкрепата за целите в областта на околната среда</w:t>
            </w:r>
          </w:p>
        </w:tc>
      </w:tr>
      <w:tr w:rsidR="002A6EDB" w:rsidRPr="002A6EDB" w14:paraId="09F9B715"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AB161B8"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001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1FEB0BA"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 xml:space="preserve">Инвестиции в дълготрайни активи, включително научноизследователски инфраструктури, на </w:t>
            </w:r>
            <w:proofErr w:type="spellStart"/>
            <w:r w:rsidRPr="002A6EDB">
              <w:rPr>
                <w:rFonts w:ascii="Times New Roman" w:hAnsi="Times New Roman" w:cs="Times New Roman"/>
                <w:sz w:val="24"/>
                <w:szCs w:val="24"/>
              </w:rPr>
              <w:t>микропредприятия</w:t>
            </w:r>
            <w:proofErr w:type="spellEnd"/>
            <w:r w:rsidRPr="002A6EDB">
              <w:rPr>
                <w:rFonts w:ascii="Times New Roman" w:hAnsi="Times New Roman" w:cs="Times New Roman"/>
                <w:sz w:val="24"/>
                <w:szCs w:val="24"/>
              </w:rPr>
              <w:t>, пряко свързани с научноизследователски и иновационни дейности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2CEA418"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C79DC00"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5F52847A"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BF15441"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002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43A213A"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Инвестиции в дълготрайни активи, включително научноизследователски инфраструктури, на малки и средни предприятия (включително частни изследователски центрове), пряко свързани с научноизследователски и иновационни дейности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51958DB"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8729888"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0FA5DE55"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BB12BE3"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002а1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6ED8F10"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Инвестиции в дълготрайни активи, включително научноизследователски инфраструктури, на предприятия</w:t>
            </w:r>
            <w:hyperlink r:id="rId9" w:anchor="ntr1-L_2021057BG.01006301-E0001" w:history="1">
              <w:r w:rsidRPr="002A6EDB">
                <w:rPr>
                  <w:rFonts w:ascii="Times New Roman" w:hAnsi="Times New Roman" w:cs="Times New Roman"/>
                  <w:sz w:val="24"/>
                  <w:szCs w:val="24"/>
                  <w:u w:val="single"/>
                </w:rPr>
                <w:t> (</w:t>
              </w:r>
              <w:r w:rsidRPr="002A6EDB">
                <w:rPr>
                  <w:rFonts w:ascii="Times New Roman" w:hAnsi="Times New Roman" w:cs="Times New Roman"/>
                  <w:sz w:val="24"/>
                  <w:szCs w:val="24"/>
                  <w:u w:val="single"/>
                  <w:vertAlign w:val="superscript"/>
                </w:rPr>
                <w:t>1</w:t>
              </w:r>
              <w:r w:rsidRPr="002A6EDB">
                <w:rPr>
                  <w:rFonts w:ascii="Times New Roman" w:hAnsi="Times New Roman" w:cs="Times New Roman"/>
                  <w:sz w:val="24"/>
                  <w:szCs w:val="24"/>
                  <w:u w:val="single"/>
                </w:rPr>
                <w:t>)</w:t>
              </w:r>
            </w:hyperlink>
            <w:r w:rsidRPr="002A6EDB">
              <w:rPr>
                <w:rFonts w:ascii="Times New Roman" w:hAnsi="Times New Roman" w:cs="Times New Roman"/>
                <w:sz w:val="24"/>
                <w:szCs w:val="24"/>
              </w:rPr>
              <w:t>, пряко свързани с научноизследователски и иновационни дейности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2962C5B"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6308D35"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1C0BA661"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94F1F92"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003</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B7B02D3"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 xml:space="preserve">Инвестиции в дълготрайни активи, включително научноизследователски инфраструктури, на публични изследователски центрове и висши учебни заведения, пряко </w:t>
            </w:r>
            <w:r w:rsidRPr="002A6EDB">
              <w:rPr>
                <w:rFonts w:ascii="Times New Roman" w:hAnsi="Times New Roman" w:cs="Times New Roman"/>
                <w:sz w:val="24"/>
                <w:szCs w:val="24"/>
              </w:rPr>
              <w:lastRenderedPageBreak/>
              <w:t>свързани с научноизследователски и иновационни дейности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92829E0"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lastRenderedPageBreak/>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4DB4C51"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540B1431"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5FAA0E6"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004</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AFB39DE"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 xml:space="preserve">Инвестиции в нематериални активи на </w:t>
            </w:r>
            <w:proofErr w:type="spellStart"/>
            <w:r w:rsidRPr="002A6EDB">
              <w:rPr>
                <w:rFonts w:ascii="Times New Roman" w:hAnsi="Times New Roman" w:cs="Times New Roman"/>
                <w:sz w:val="24"/>
                <w:szCs w:val="24"/>
              </w:rPr>
              <w:t>микропредприятия</w:t>
            </w:r>
            <w:proofErr w:type="spellEnd"/>
            <w:r w:rsidRPr="002A6EDB">
              <w:rPr>
                <w:rFonts w:ascii="Times New Roman" w:hAnsi="Times New Roman" w:cs="Times New Roman"/>
                <w:sz w:val="24"/>
                <w:szCs w:val="24"/>
              </w:rPr>
              <w:t>, пряко свързани с научноизследователски и иновационни дейности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2E80132"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982A544"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0B26E4E9"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8128A9F"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005</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A5CC20B"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Инвестиции в нематериални активи на МСП (включително частни изследователски центрове), пряко свързани с научноизследователски и иновационни дейности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38CD007"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C156093"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3D9C7605"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E287BB5"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005а1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21ED062"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Инвестиции в нематериални активи на големи предприятия, пряко свързани с научноизследователски и иновационни дейности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32CFC5F"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FDA87E7"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653B0C96"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6687422"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006</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03C1FC8"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Инвестиции в нематериални активи на публични изследователски центрове и висши учебни заведения, пряко свързани с научноизследователски и иновационни дейности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D9C16EA"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8281859"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43703A45"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55EB2CE"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007</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CFE5A49"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 xml:space="preserve">Научни изследвания и иновационни дейности в </w:t>
            </w:r>
            <w:proofErr w:type="spellStart"/>
            <w:r w:rsidRPr="002A6EDB">
              <w:rPr>
                <w:rFonts w:ascii="Times New Roman" w:hAnsi="Times New Roman" w:cs="Times New Roman"/>
                <w:sz w:val="24"/>
                <w:szCs w:val="24"/>
              </w:rPr>
              <w:t>микропредприятия</w:t>
            </w:r>
            <w:proofErr w:type="spellEnd"/>
            <w:r w:rsidRPr="002A6EDB">
              <w:rPr>
                <w:rFonts w:ascii="Times New Roman" w:hAnsi="Times New Roman" w:cs="Times New Roman"/>
                <w:sz w:val="24"/>
                <w:szCs w:val="24"/>
              </w:rPr>
              <w:t>, включително изграждане на мрежи (индустриални научни изследвания, експериментално развитие, проучвания за установяване на осъществимостта)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4DA6702"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9AE6BF4"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05CC21BE"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3783F9C"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008</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72D15A4"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Научноизследователски и иновационни дейности в МСП, включително изграждане на мрежи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7A429D8"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FE6014A"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1248D37E"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3372FCC"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008а1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7315A4E"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Научноизследователски и иновационни дейности в големи предприятия, включително изграждане на мрежи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B626131"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8377323"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47331FAE"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EE65115"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009</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4C150F8"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Научноизследователски и иновационни дейности в публични научноизследователски центрове, висши учебни заведения и специализирани експертни центрове, включително изграждане на мрежи (индустриални научни изследвания, експериментално развитие, проучвания за установяване на осъществимост)</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74C18BA"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D5D8138"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308C51E7"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F5323FD"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010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3986938"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Цифровизация на МСП (включително електронна търговия, електронен бизнес и бизнес процеси в мрежа, центрове за цифрови иновации, „живи лаборатории“, интернет предприемачи и нови ИКТ предприятия, B2B)</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90947B0"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40FE335"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0057EA7D"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22EE91B"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010а1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CB170A6"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 xml:space="preserve">Цифровизация на големи предприятия (включително електронна търговия, електронен бизнес и бизнес процеси в мрежа, центрове за </w:t>
            </w:r>
            <w:r w:rsidRPr="002A6EDB">
              <w:rPr>
                <w:rFonts w:ascii="Times New Roman" w:hAnsi="Times New Roman" w:cs="Times New Roman"/>
                <w:sz w:val="24"/>
                <w:szCs w:val="24"/>
              </w:rPr>
              <w:lastRenderedPageBreak/>
              <w:t>цифрови иновации, „живи лаборатории“, интернет предприемачи и нови ИКТ предприятия, B2B)</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E3B60DB"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lastRenderedPageBreak/>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6FF6F27"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5348F5FC"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7CB5D2E"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010б</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FC28826"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Цифровизация на МСП или големи предприятия (включително електронна търговия, електронен бизнес и бизнес процеси в мрежа, центрове за цифрови иновации, „живи лаборатории“, интернет предприемачи и нови ИКТ предприятия, B2B), които отговарят на критериите за намаляване на емисиите на парникови газове или за енергийна ефективност</w:t>
            </w:r>
            <w:hyperlink r:id="rId10" w:anchor="ntr2-L_2021057BG.01006301-E0002" w:history="1">
              <w:r w:rsidRPr="002A6EDB">
                <w:rPr>
                  <w:rFonts w:ascii="Times New Roman" w:hAnsi="Times New Roman" w:cs="Times New Roman"/>
                  <w:sz w:val="24"/>
                  <w:szCs w:val="24"/>
                  <w:u w:val="single"/>
                </w:rPr>
                <w:t> (</w:t>
              </w:r>
              <w:r w:rsidRPr="002A6EDB">
                <w:rPr>
                  <w:rFonts w:ascii="Times New Roman" w:hAnsi="Times New Roman" w:cs="Times New Roman"/>
                  <w:sz w:val="24"/>
                  <w:szCs w:val="24"/>
                  <w:u w:val="single"/>
                  <w:vertAlign w:val="superscript"/>
                </w:rPr>
                <w:t>2</w:t>
              </w:r>
              <w:r w:rsidRPr="002A6EDB">
                <w:rPr>
                  <w:rFonts w:ascii="Times New Roman" w:hAnsi="Times New Roman" w:cs="Times New Roman"/>
                  <w:sz w:val="24"/>
                  <w:szCs w:val="24"/>
                  <w:u w:val="single"/>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4EE0B3F"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B3249DF"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0B6EDBB9"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11195B2"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011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AA89CA4"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ИКТ решения за държавното управление, приложения, електронни услуги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18E044B"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0475403"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73CC8352"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6F004FA"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011а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0FBAA36"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ИКТ решения на държавното управление, електронни услуги, приложения, отговарящи на критериите за намаляване на емисиите на парникови газове или за енергийна ефективност</w:t>
            </w:r>
            <w:hyperlink r:id="rId11" w:anchor="ntr2-L_2021057BG.01006301-E0002" w:history="1">
              <w:r w:rsidRPr="002A6EDB">
                <w:rPr>
                  <w:rFonts w:ascii="Times New Roman" w:hAnsi="Times New Roman" w:cs="Times New Roman"/>
                  <w:sz w:val="24"/>
                  <w:szCs w:val="24"/>
                  <w:u w:val="single"/>
                </w:rPr>
                <w:t> (</w:t>
              </w:r>
              <w:r w:rsidRPr="002A6EDB">
                <w:rPr>
                  <w:rFonts w:ascii="Times New Roman" w:hAnsi="Times New Roman" w:cs="Times New Roman"/>
                  <w:sz w:val="24"/>
                  <w:szCs w:val="24"/>
                  <w:u w:val="single"/>
                  <w:vertAlign w:val="superscript"/>
                </w:rPr>
                <w:t>2</w:t>
              </w:r>
              <w:r w:rsidRPr="002A6EDB">
                <w:rPr>
                  <w:rFonts w:ascii="Times New Roman" w:hAnsi="Times New Roman" w:cs="Times New Roman"/>
                  <w:sz w:val="24"/>
                  <w:szCs w:val="24"/>
                  <w:u w:val="single"/>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1BDA6B8"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3B1B72A"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6E90CC7B"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7D6E26B"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012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9B8DFA3"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Услуги в областта на информационните технологии и приложения за цифровите умения и цифровото приобщаване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46855F8"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1B6D832"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6C614988"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4016E1D"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013</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5EA29E0"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Услуги и приложения за електронно здравеопазване (включително e-Care, интернет на нещата за физическа активност и интелигентна заобикаляща среда)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35539F7"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79D660F"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3416F480"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B4ECF87"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014</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97C6840"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Стопанска инфраструктура за МСП (включително промишлени паркове и обекти)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4B842FB"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BEE67F4"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4BE0F683"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FAEABE3"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015</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B05180E"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Стопанско развитие и интернационализация на МСП, включително производствени инвестиции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D789CD7"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725B016"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1D98180C"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05DD41D"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015а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A9F0BD0"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Подпомагане за големи предприятия чрез финансови инструменти, включително производствени инвестиции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2951C01"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D602C80"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3B471C76"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EDF4D69"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016</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7A9B92C"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Развитие на умения за интелигентна специализация, промишлен преход, предприемачество и приспособимост на предприятията към промените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5318290"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76A7CEB"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3460CAAD"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21BB395"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017</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BC5375D"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Специализирани услуги за подпомагане на МСП и групи от МСП (включително услуги за управление, маркетинг и проектиране)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7E9DBA2"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19B783F"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0FE8026D"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04C14C3"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018</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1C51C04"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Инкубация, подпомагане на отделяне и разделяне на предприятия и новосъздадени фирми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1D06827"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3383F7A"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4A5F82D2"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2B1DC49"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019</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C5CC60F"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 xml:space="preserve">Подкрепа за иновационни клъстери, включително между предприятия, научноизследователски организации и </w:t>
            </w:r>
            <w:r w:rsidRPr="002A6EDB">
              <w:rPr>
                <w:rFonts w:ascii="Times New Roman" w:hAnsi="Times New Roman" w:cs="Times New Roman"/>
                <w:sz w:val="24"/>
                <w:szCs w:val="24"/>
              </w:rPr>
              <w:lastRenderedPageBreak/>
              <w:t>публични органи и бизнес мрежи, които са от полза предимно за МСП</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E26EE09"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lastRenderedPageBreak/>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686BF24"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4DC3D943"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D2A9BB6"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020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6A484C2"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Иновационните процеси в МСП (технологични, организационни, маркетингови, съвместно създаване и иновации, ориентирани към търсенето и потребителите)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085F90B"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EAFEA7F"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107B0F9D"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D72B1FC"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021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422F7CC"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Трансфер на технологии и сътрудничество между предприятията, изследователските центрове и висшето образование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C8932A4"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66875C7"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7642BC57"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C12B5FA"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022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4DC1DA6"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 xml:space="preserve">Научноизследователски и иновационни процеси, трансфер на технологии и сътрудничество между предприятия с акцент върху </w:t>
            </w:r>
            <w:proofErr w:type="spellStart"/>
            <w:r w:rsidRPr="002A6EDB">
              <w:rPr>
                <w:rFonts w:ascii="Times New Roman" w:hAnsi="Times New Roman" w:cs="Times New Roman"/>
                <w:sz w:val="24"/>
                <w:szCs w:val="24"/>
              </w:rPr>
              <w:t>нисковъглеродната</w:t>
            </w:r>
            <w:proofErr w:type="spellEnd"/>
            <w:r w:rsidRPr="002A6EDB">
              <w:rPr>
                <w:rFonts w:ascii="Times New Roman" w:hAnsi="Times New Roman" w:cs="Times New Roman"/>
                <w:sz w:val="24"/>
                <w:szCs w:val="24"/>
              </w:rPr>
              <w:t xml:space="preserve"> икономика и устойчивостта към изменението на климата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B6A3D60"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5C15E12"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40%</w:t>
            </w:r>
          </w:p>
        </w:tc>
      </w:tr>
      <w:tr w:rsidR="002A6EDB" w:rsidRPr="002A6EDB" w14:paraId="41BBD175"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94053B5"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023</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3D83B91"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Научноизследователски и иновационни процеси, трансфер на технологии и сътрудничество между предприятия с акцент върху кръговата икономика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9720A69"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70624B9"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100%</w:t>
            </w:r>
          </w:p>
        </w:tc>
      </w:tr>
      <w:tr w:rsidR="002A6EDB" w:rsidRPr="002A6EDB" w14:paraId="35A32F88"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D5F3FE8"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024</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A238F49"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Проекти за енергийна ефективност и демонстрационни проекти в МСП и спомагателни мерки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13C9B7E"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D25FE8C"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40%</w:t>
            </w:r>
          </w:p>
        </w:tc>
      </w:tr>
      <w:tr w:rsidR="002A6EDB" w:rsidRPr="002A6EDB" w14:paraId="0B4EA015"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06332D2"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024а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8A187E5"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Енергийна ефективност и демонстрационни проекти в големи предприятия и спомагателни мерки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7E71B5B"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811509E"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40%</w:t>
            </w:r>
          </w:p>
        </w:tc>
      </w:tr>
      <w:tr w:rsidR="002A6EDB" w:rsidRPr="002A6EDB" w14:paraId="33C79B83"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2600192"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024б</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82923DF"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Енергийна ефективност и демонстрационни проекти в МСП или големи предприятия и спомагателни мерки, които отговарят на критериите за енергийна ефективност</w:t>
            </w:r>
            <w:hyperlink r:id="rId12" w:anchor="ntr3-L_2021057BG.01006301-E0003" w:history="1">
              <w:r w:rsidRPr="002A6EDB">
                <w:rPr>
                  <w:rFonts w:ascii="Times New Roman" w:hAnsi="Times New Roman" w:cs="Times New Roman"/>
                  <w:sz w:val="24"/>
                  <w:szCs w:val="24"/>
                  <w:u w:val="single"/>
                </w:rPr>
                <w:t> (</w:t>
              </w:r>
              <w:r w:rsidRPr="002A6EDB">
                <w:rPr>
                  <w:rFonts w:ascii="Times New Roman" w:hAnsi="Times New Roman" w:cs="Times New Roman"/>
                  <w:sz w:val="24"/>
                  <w:szCs w:val="24"/>
                  <w:u w:val="single"/>
                  <w:vertAlign w:val="superscript"/>
                </w:rPr>
                <w:t>3</w:t>
              </w:r>
              <w:r w:rsidRPr="002A6EDB">
                <w:rPr>
                  <w:rFonts w:ascii="Times New Roman" w:hAnsi="Times New Roman" w:cs="Times New Roman"/>
                  <w:sz w:val="24"/>
                  <w:szCs w:val="24"/>
                  <w:u w:val="single"/>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D51CFB7"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69A980A"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40%</w:t>
            </w:r>
          </w:p>
        </w:tc>
      </w:tr>
      <w:tr w:rsidR="002A6EDB" w:rsidRPr="002A6EDB" w14:paraId="5ABD433A"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BA5CF4D"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30E8739"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Обновяване на наличния жилищен фонд с цел повишаване на енергийната ефективност, демонстрационни проекти и спомагателни мерки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F669623"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D9A7D13"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40%</w:t>
            </w:r>
          </w:p>
        </w:tc>
      </w:tr>
      <w:tr w:rsidR="002A6EDB" w:rsidRPr="002A6EDB" w14:paraId="6FB79655"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9C8F5B1"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025а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D86572D"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Обновяване на наличния жилищен фонд с цел повишаване на енергийната ефективност, демонстрационни проекти и спомагателни мерки, които отговарят на критериите за енергийна ефективност</w:t>
            </w:r>
            <w:hyperlink r:id="rId13" w:anchor="ntr4-L_2021057BG.01006301-E0004" w:history="1">
              <w:r w:rsidRPr="002A6EDB">
                <w:rPr>
                  <w:rFonts w:ascii="Times New Roman" w:hAnsi="Times New Roman" w:cs="Times New Roman"/>
                  <w:sz w:val="24"/>
                  <w:szCs w:val="24"/>
                  <w:u w:val="single"/>
                </w:rPr>
                <w:t> (</w:t>
              </w:r>
              <w:r w:rsidRPr="002A6EDB">
                <w:rPr>
                  <w:rFonts w:ascii="Times New Roman" w:hAnsi="Times New Roman" w:cs="Times New Roman"/>
                  <w:sz w:val="24"/>
                  <w:szCs w:val="24"/>
                  <w:u w:val="single"/>
                  <w:vertAlign w:val="superscript"/>
                </w:rPr>
                <w:t>4</w:t>
              </w:r>
              <w:r w:rsidRPr="002A6EDB">
                <w:rPr>
                  <w:rFonts w:ascii="Times New Roman" w:hAnsi="Times New Roman" w:cs="Times New Roman"/>
                  <w:sz w:val="24"/>
                  <w:szCs w:val="24"/>
                  <w:u w:val="single"/>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5CB24F3"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D5562AF"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40%</w:t>
            </w:r>
          </w:p>
        </w:tc>
      </w:tr>
      <w:tr w:rsidR="002A6EDB" w:rsidRPr="002A6EDB" w14:paraId="4FA6C332"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10F3502"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025б</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F7190EC"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Изграждане на нови енергийно ефективни сгради</w:t>
            </w:r>
            <w:hyperlink r:id="rId14" w:anchor="ntr5-L_2021057BG.01006301-E0005" w:history="1">
              <w:r w:rsidRPr="002A6EDB">
                <w:rPr>
                  <w:rFonts w:ascii="Times New Roman" w:hAnsi="Times New Roman" w:cs="Times New Roman"/>
                  <w:sz w:val="24"/>
                  <w:szCs w:val="24"/>
                  <w:u w:val="single"/>
                </w:rPr>
                <w:t> (</w:t>
              </w:r>
              <w:r w:rsidRPr="002A6EDB">
                <w:rPr>
                  <w:rFonts w:ascii="Times New Roman" w:hAnsi="Times New Roman" w:cs="Times New Roman"/>
                  <w:sz w:val="24"/>
                  <w:szCs w:val="24"/>
                  <w:u w:val="single"/>
                  <w:vertAlign w:val="superscript"/>
                </w:rPr>
                <w:t>5</w:t>
              </w:r>
              <w:r w:rsidRPr="002A6EDB">
                <w:rPr>
                  <w:rFonts w:ascii="Times New Roman" w:hAnsi="Times New Roman" w:cs="Times New Roman"/>
                  <w:sz w:val="24"/>
                  <w:szCs w:val="24"/>
                  <w:u w:val="single"/>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2D1B008"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15B1E4F"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40%</w:t>
            </w:r>
          </w:p>
        </w:tc>
      </w:tr>
      <w:tr w:rsidR="002A6EDB" w:rsidRPr="002A6EDB" w14:paraId="61A3465E"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B9B30CD"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026</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BAC07EF"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Обновяване на обществена инфраструктура или мерки за повишаване на енергийната ефективност на обществена структура, демонстрационни проекти и спомагателни мерки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1B91F09"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5E8737D"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40%</w:t>
            </w:r>
          </w:p>
        </w:tc>
      </w:tr>
      <w:tr w:rsidR="002A6EDB" w:rsidRPr="002A6EDB" w14:paraId="18330B94"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FCF7AAF"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026а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5A2730C"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 xml:space="preserve">Обновяване на обществена инфраструктура или мерки за повишаване на енергийната ефективност на обществена структура, </w:t>
            </w:r>
            <w:r w:rsidRPr="002A6EDB">
              <w:rPr>
                <w:rFonts w:ascii="Times New Roman" w:hAnsi="Times New Roman" w:cs="Times New Roman"/>
                <w:sz w:val="24"/>
                <w:szCs w:val="24"/>
              </w:rPr>
              <w:lastRenderedPageBreak/>
              <w:t>демонстрационни проекти и спомагателни мерки, които отговарят на критериите за енергийна ефективност</w:t>
            </w:r>
            <w:hyperlink r:id="rId15" w:anchor="ntr6-L_2021057BG.01006301-E0006" w:history="1">
              <w:r w:rsidRPr="002A6EDB">
                <w:rPr>
                  <w:rFonts w:ascii="Times New Roman" w:hAnsi="Times New Roman" w:cs="Times New Roman"/>
                  <w:sz w:val="24"/>
                  <w:szCs w:val="24"/>
                  <w:u w:val="single"/>
                </w:rPr>
                <w:t> (</w:t>
              </w:r>
              <w:r w:rsidRPr="002A6EDB">
                <w:rPr>
                  <w:rFonts w:ascii="Times New Roman" w:hAnsi="Times New Roman" w:cs="Times New Roman"/>
                  <w:sz w:val="24"/>
                  <w:szCs w:val="24"/>
                  <w:u w:val="single"/>
                  <w:vertAlign w:val="superscript"/>
                </w:rPr>
                <w:t>6</w:t>
              </w:r>
              <w:r w:rsidRPr="002A6EDB">
                <w:rPr>
                  <w:rFonts w:ascii="Times New Roman" w:hAnsi="Times New Roman" w:cs="Times New Roman"/>
                  <w:sz w:val="24"/>
                  <w:szCs w:val="24"/>
                  <w:u w:val="single"/>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4248DA5"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lastRenderedPageBreak/>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95AB734"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40%</w:t>
            </w:r>
          </w:p>
        </w:tc>
      </w:tr>
      <w:tr w:rsidR="002A6EDB" w:rsidRPr="002A6EDB" w14:paraId="48A35B4B"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94FDD64"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027</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7ED411D"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 xml:space="preserve">Подпомагане за предприятия, които предоставят услуги, допринасящи за </w:t>
            </w:r>
            <w:proofErr w:type="spellStart"/>
            <w:r w:rsidRPr="002A6EDB">
              <w:rPr>
                <w:rFonts w:ascii="Times New Roman" w:hAnsi="Times New Roman" w:cs="Times New Roman"/>
                <w:sz w:val="24"/>
                <w:szCs w:val="24"/>
              </w:rPr>
              <w:t>нисковъглеродна</w:t>
            </w:r>
            <w:proofErr w:type="spellEnd"/>
            <w:r w:rsidRPr="002A6EDB">
              <w:rPr>
                <w:rFonts w:ascii="Times New Roman" w:hAnsi="Times New Roman" w:cs="Times New Roman"/>
                <w:sz w:val="24"/>
                <w:szCs w:val="24"/>
              </w:rPr>
              <w:t xml:space="preserve"> икономика и устойчивост спрямо изменението на климата, включително мерки за повишаване на осведомеността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3E7ABB6"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9B3251B"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40%</w:t>
            </w:r>
          </w:p>
        </w:tc>
      </w:tr>
      <w:tr w:rsidR="002A6EDB" w:rsidRPr="002A6EDB" w14:paraId="23CD48E3"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DF227F5"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028</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DF3C86F"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Енергия от възобновяеми източници: вятърна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C5D096A"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83EFF19"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40%</w:t>
            </w:r>
          </w:p>
        </w:tc>
      </w:tr>
      <w:tr w:rsidR="002A6EDB" w:rsidRPr="002A6EDB" w14:paraId="4DE0F54E"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571E809"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029</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DDF6441"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Енергия от възобновяеми източници: слънчева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E15FA4B"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C2FB934"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40%</w:t>
            </w:r>
          </w:p>
        </w:tc>
      </w:tr>
      <w:tr w:rsidR="002A6EDB" w:rsidRPr="002A6EDB" w14:paraId="2825E011"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A2F7D17"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030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ADEA756"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Енергия от възобновяеми източници: биомаса</w:t>
            </w:r>
            <w:hyperlink r:id="rId16" w:anchor="ntr7-L_2021057BG.01006301-E0007" w:history="1">
              <w:r w:rsidRPr="002A6EDB">
                <w:rPr>
                  <w:rFonts w:ascii="Times New Roman" w:hAnsi="Times New Roman" w:cs="Times New Roman"/>
                  <w:sz w:val="24"/>
                  <w:szCs w:val="24"/>
                  <w:u w:val="single"/>
                </w:rPr>
                <w:t> (</w:t>
              </w:r>
              <w:r w:rsidRPr="002A6EDB">
                <w:rPr>
                  <w:rFonts w:ascii="Times New Roman" w:hAnsi="Times New Roman" w:cs="Times New Roman"/>
                  <w:sz w:val="24"/>
                  <w:szCs w:val="24"/>
                  <w:u w:val="single"/>
                  <w:vertAlign w:val="superscript"/>
                </w:rPr>
                <w:t>7</w:t>
              </w:r>
              <w:r w:rsidRPr="002A6EDB">
                <w:rPr>
                  <w:rFonts w:ascii="Times New Roman" w:hAnsi="Times New Roman" w:cs="Times New Roman"/>
                  <w:sz w:val="24"/>
                  <w:szCs w:val="24"/>
                  <w:u w:val="single"/>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AC648C2"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3E2355C"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40%</w:t>
            </w:r>
          </w:p>
        </w:tc>
      </w:tr>
      <w:tr w:rsidR="002A6EDB" w:rsidRPr="002A6EDB" w14:paraId="2E3CD846"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011B741"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030а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2B0129A"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Енергия от възобновяеми източници: Биомаса с високи намаления на емисиите на парникови газове</w:t>
            </w:r>
            <w:hyperlink r:id="rId17" w:anchor="ntr8-L_2021057BG.01006301-E0008" w:history="1">
              <w:r w:rsidRPr="002A6EDB">
                <w:rPr>
                  <w:rFonts w:ascii="Times New Roman" w:hAnsi="Times New Roman" w:cs="Times New Roman"/>
                  <w:sz w:val="24"/>
                  <w:szCs w:val="24"/>
                  <w:u w:val="single"/>
                </w:rPr>
                <w:t> (</w:t>
              </w:r>
              <w:r w:rsidRPr="002A6EDB">
                <w:rPr>
                  <w:rFonts w:ascii="Times New Roman" w:hAnsi="Times New Roman" w:cs="Times New Roman"/>
                  <w:sz w:val="24"/>
                  <w:szCs w:val="24"/>
                  <w:u w:val="single"/>
                  <w:vertAlign w:val="superscript"/>
                </w:rPr>
                <w:t>8</w:t>
              </w:r>
              <w:r w:rsidRPr="002A6EDB">
                <w:rPr>
                  <w:rFonts w:ascii="Times New Roman" w:hAnsi="Times New Roman" w:cs="Times New Roman"/>
                  <w:sz w:val="24"/>
                  <w:szCs w:val="24"/>
                  <w:u w:val="single"/>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7C67D8E"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4CB81BC"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40%</w:t>
            </w:r>
          </w:p>
        </w:tc>
      </w:tr>
      <w:tr w:rsidR="002A6EDB" w:rsidRPr="002A6EDB" w14:paraId="25660AFA"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F41BA23"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031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78EC035"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Енергия от възобновяеми източници: морска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A7095E2"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C32D6C4"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40%</w:t>
            </w:r>
          </w:p>
        </w:tc>
      </w:tr>
      <w:tr w:rsidR="002A6EDB" w:rsidRPr="002A6EDB" w14:paraId="4CE9434D"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6BFD044"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032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7A5AA6E"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Други видове енергия от възобновяеми източници (включително геотермална енергия)</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987FCC0"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0F833D6"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40%</w:t>
            </w:r>
          </w:p>
        </w:tc>
      </w:tr>
      <w:tr w:rsidR="002A6EDB" w:rsidRPr="002A6EDB" w14:paraId="3C737A01"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BC7C168"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033</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9538F52"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Интелигентни енергийни системи (включително интелигентни мрежи и ИКТ системи) и свързаното с тях съхранение.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5ADFCC8"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EC73CC6"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40%</w:t>
            </w:r>
          </w:p>
        </w:tc>
      </w:tr>
      <w:tr w:rsidR="002A6EDB" w:rsidRPr="002A6EDB" w14:paraId="7B93AD24"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51C5ECB"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034</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C6D50D7"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Високоефективно комбинирано производство на енергия, районни отоплителни и охладителни системи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8C2F956"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AE418AE"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40%</w:t>
            </w:r>
          </w:p>
        </w:tc>
      </w:tr>
      <w:tr w:rsidR="002A6EDB" w:rsidRPr="002A6EDB" w14:paraId="2E1A923C"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B66276D"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034а0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903696C"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Високоефективно комбинирано производство на енергия, ефективни централни отоплителни и охладителни системи с ниски емисии през целия жизнен цикъл</w:t>
            </w:r>
            <w:hyperlink r:id="rId18" w:anchor="ntr9-L_2021057BG.01006301-E0009" w:history="1">
              <w:r w:rsidRPr="002A6EDB">
                <w:rPr>
                  <w:rFonts w:ascii="Times New Roman" w:hAnsi="Times New Roman" w:cs="Times New Roman"/>
                  <w:sz w:val="24"/>
                  <w:szCs w:val="24"/>
                  <w:u w:val="single"/>
                </w:rPr>
                <w:t> (</w:t>
              </w:r>
              <w:r w:rsidRPr="002A6EDB">
                <w:rPr>
                  <w:rFonts w:ascii="Times New Roman" w:hAnsi="Times New Roman" w:cs="Times New Roman"/>
                  <w:sz w:val="24"/>
                  <w:szCs w:val="24"/>
                  <w:u w:val="single"/>
                  <w:vertAlign w:val="superscript"/>
                </w:rPr>
                <w:t>9</w:t>
              </w:r>
              <w:r w:rsidRPr="002A6EDB">
                <w:rPr>
                  <w:rFonts w:ascii="Times New Roman" w:hAnsi="Times New Roman" w:cs="Times New Roman"/>
                  <w:sz w:val="24"/>
                  <w:szCs w:val="24"/>
                  <w:u w:val="single"/>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2F03292"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3D0D8D0"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40%</w:t>
            </w:r>
          </w:p>
        </w:tc>
      </w:tr>
      <w:tr w:rsidR="002A6EDB" w:rsidRPr="002A6EDB" w14:paraId="08A930B9"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C68C636"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034а1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A88EB38"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Замяна на отоплителни системи с използване на въглища с отоплителни системи на газ за целите на смекчаването на последиците от изменението на климата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1B4A8E0"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ABF5193"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3655B302"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DBEE526"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034а2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F69C8A1"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Разпространение и пренос на природен газ, заместващ въглища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842C2ED"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43CAA14"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074BC04F"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0C1233B"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035</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C713731"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Мерки за адаптиране към изменението на климата и превенция и управление на рискове, свързани с климата: наводнения (включително повишаване на осведомеността, гражданска защита и системи за управление на бедствия, инфраструктури и подходи, основани на екосистемите)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E5F4BCE"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8EC2B74"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100%</w:t>
            </w:r>
          </w:p>
        </w:tc>
      </w:tr>
      <w:tr w:rsidR="002A6EDB" w:rsidRPr="002A6EDB" w14:paraId="38F2DFDA"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01D4EE6"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036</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F6889DE"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 xml:space="preserve">Мерки за адаптиране към изменението на климата и превенция и управление на рискове, свързани с климата: пожари (включително повишаване на осведомеността, гражданска защита и системи за управление на бедствия, </w:t>
            </w:r>
            <w:r w:rsidRPr="002A6EDB">
              <w:rPr>
                <w:rFonts w:ascii="Times New Roman" w:hAnsi="Times New Roman" w:cs="Times New Roman"/>
                <w:sz w:val="24"/>
                <w:szCs w:val="24"/>
              </w:rPr>
              <w:lastRenderedPageBreak/>
              <w:t>инфраструктури и подходи, основани на екосистемите)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87E1251"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lastRenderedPageBreak/>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791A1A4"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100%</w:t>
            </w:r>
          </w:p>
        </w:tc>
      </w:tr>
      <w:tr w:rsidR="002A6EDB" w:rsidRPr="002A6EDB" w14:paraId="19CCB442"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8828EC7"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037</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3AC474E"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Мерки за адаптиране към изменението на климата и превенция и управление на рискове, свързани с климата: други, например бури или суша (включително повишаване на осведомеността, гражданска защита и системи за управление на бедствия, инфраструктури и подходи, основани на екосистемите)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3383B1A"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F401E06"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100%</w:t>
            </w:r>
          </w:p>
        </w:tc>
      </w:tr>
      <w:tr w:rsidR="002A6EDB" w:rsidRPr="002A6EDB" w14:paraId="620EBB99"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D2C06EA"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038</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D122F06"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Превенция и управление на природни рискове, които не са свързани с климата (т.е. земетресения), и рискове, свързани с човешки дейности (например технологични аварии), включително повишаване на осведомеността, системи и инфраструктури за гражданска защита и управление на бедствия и подходи, основани на екосистемите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DA2E839"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DB3B40A"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100%</w:t>
            </w:r>
          </w:p>
        </w:tc>
      </w:tr>
      <w:tr w:rsidR="002A6EDB" w:rsidRPr="002A6EDB" w14:paraId="6767B15C"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A3FBFDC"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039</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AB04E9D"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Осигуряване на вода за консумация от човека (извличане, обработване, съхранение и разпределение, мерки за енергийна ефективност, инфраструктура, снабдяване с питейна вода)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8C4A1E5"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A83A542"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100%</w:t>
            </w:r>
          </w:p>
        </w:tc>
      </w:tr>
      <w:tr w:rsidR="002A6EDB" w:rsidRPr="002A6EDB" w14:paraId="3D5D2B50"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00C1534"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039а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A962C41"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Осигуряване на вода за консумация от човека (извличане, обработване, съхранение и разпределение, мерки за енергийна ефективност, инфраструктура, снабдяване с питейна вода), което отговаря на критериите за енергийна ефективност</w:t>
            </w:r>
            <w:hyperlink r:id="rId19" w:anchor="ntr10-L_2021057BG.01006301-E0010" w:history="1">
              <w:r w:rsidRPr="002A6EDB">
                <w:rPr>
                  <w:rFonts w:ascii="Times New Roman" w:hAnsi="Times New Roman" w:cs="Times New Roman"/>
                  <w:sz w:val="24"/>
                  <w:szCs w:val="24"/>
                  <w:u w:val="single"/>
                </w:rPr>
                <w:t> (</w:t>
              </w:r>
              <w:r w:rsidRPr="002A6EDB">
                <w:rPr>
                  <w:rFonts w:ascii="Times New Roman" w:hAnsi="Times New Roman" w:cs="Times New Roman"/>
                  <w:sz w:val="24"/>
                  <w:szCs w:val="24"/>
                  <w:u w:val="single"/>
                  <w:vertAlign w:val="superscript"/>
                </w:rPr>
                <w:t>10</w:t>
              </w:r>
              <w:r w:rsidRPr="002A6EDB">
                <w:rPr>
                  <w:rFonts w:ascii="Times New Roman" w:hAnsi="Times New Roman" w:cs="Times New Roman"/>
                  <w:sz w:val="24"/>
                  <w:szCs w:val="24"/>
                  <w:u w:val="single"/>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E2C9494"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F4CB8DE"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100%</w:t>
            </w:r>
          </w:p>
        </w:tc>
      </w:tr>
      <w:tr w:rsidR="002A6EDB" w:rsidRPr="002A6EDB" w14:paraId="190433C5"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A536FE8"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DF8FAF0"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Управление на водите и опазване на водните ресурси (включително управление на речните басейни, специфични мерки за адаптиране към изменението на климата, повторна употреба, намаляване на течовете)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3BF92FE"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776F0E4"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100%</w:t>
            </w:r>
          </w:p>
        </w:tc>
      </w:tr>
      <w:tr w:rsidR="002A6EDB" w:rsidRPr="002A6EDB" w14:paraId="6F5D286F"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142D758"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041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C4C2F73"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Събиране и пречистване на отпадъчни води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1C51881"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14A02E0"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100%</w:t>
            </w:r>
          </w:p>
        </w:tc>
      </w:tr>
      <w:tr w:rsidR="002A6EDB" w:rsidRPr="002A6EDB" w14:paraId="4CC75A1A"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3E51B17"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041а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74D296E"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Събиране и пречистване на отпадъчни води в съответствие с критериите за енергийна ефективност</w:t>
            </w:r>
            <w:hyperlink r:id="rId20" w:anchor="ntr11-L_2021057BG.01006301-E0011" w:history="1">
              <w:r w:rsidRPr="002A6EDB">
                <w:rPr>
                  <w:rFonts w:ascii="Times New Roman" w:hAnsi="Times New Roman" w:cs="Times New Roman"/>
                  <w:sz w:val="24"/>
                  <w:szCs w:val="24"/>
                  <w:u w:val="single"/>
                </w:rPr>
                <w:t> (</w:t>
              </w:r>
              <w:r w:rsidRPr="002A6EDB">
                <w:rPr>
                  <w:rFonts w:ascii="Times New Roman" w:hAnsi="Times New Roman" w:cs="Times New Roman"/>
                  <w:sz w:val="24"/>
                  <w:szCs w:val="24"/>
                  <w:u w:val="single"/>
                  <w:vertAlign w:val="superscript"/>
                </w:rPr>
                <w:t>11</w:t>
              </w:r>
              <w:r w:rsidRPr="002A6EDB">
                <w:rPr>
                  <w:rFonts w:ascii="Times New Roman" w:hAnsi="Times New Roman" w:cs="Times New Roman"/>
                  <w:sz w:val="24"/>
                  <w:szCs w:val="24"/>
                  <w:u w:val="single"/>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63B4644"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B03685B"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100%</w:t>
            </w:r>
          </w:p>
        </w:tc>
      </w:tr>
      <w:tr w:rsidR="002A6EDB" w:rsidRPr="002A6EDB" w14:paraId="19114B33"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6D878C8"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042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99E4243"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Управление на битови отпадъци: превантивни мерки, мерки за минимизиране, сортиране, повторна употреба и рециклиране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760C142"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5E2CE4D"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100%</w:t>
            </w:r>
          </w:p>
        </w:tc>
      </w:tr>
      <w:tr w:rsidR="002A6EDB" w:rsidRPr="002A6EDB" w14:paraId="7770B43A"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77E944E"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042а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E0C57B0"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Управление на битови отпадъци: управление на остатъчни отпадъци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A8CF599"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CB6AF52"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100%</w:t>
            </w:r>
          </w:p>
        </w:tc>
      </w:tr>
      <w:tr w:rsidR="002A6EDB" w:rsidRPr="002A6EDB" w14:paraId="33174733"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9BF144D"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044</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27A91EE"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Управление на търговски и промишлени отпадъци: превантивни мерки, мерки за минимизиране, сортиране, повторна употреба и рециклиране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33D4DFF"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1E61743"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100%</w:t>
            </w:r>
          </w:p>
        </w:tc>
      </w:tr>
      <w:tr w:rsidR="002A6EDB" w:rsidRPr="002A6EDB" w14:paraId="1E493195"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F132B8C"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lastRenderedPageBreak/>
              <w:t>044а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D7A604B"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Управление на търговски и промишлени отпадъци: остатъчни и опасни отпадъци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ACCED32"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2B469BC"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100%</w:t>
            </w:r>
          </w:p>
        </w:tc>
      </w:tr>
      <w:tr w:rsidR="002A6EDB" w:rsidRPr="002A6EDB" w14:paraId="18317C41"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8FFE443"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045</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BE4D4F4"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Насърчаване на използването на рециклирани материали като суровини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4CA5CCB"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256D4E0"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100%</w:t>
            </w:r>
          </w:p>
        </w:tc>
      </w:tr>
      <w:tr w:rsidR="002A6EDB" w:rsidRPr="002A6EDB" w14:paraId="54AFC8A4"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D788C26"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045а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4A57308"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Използване на рециклирани материали като суровини, отговарящи на критериите за ефективност</w:t>
            </w:r>
            <w:hyperlink r:id="rId21" w:anchor="ntr12-L_2021057BG.01006301-E0012" w:history="1">
              <w:r w:rsidRPr="002A6EDB">
                <w:rPr>
                  <w:rFonts w:ascii="Times New Roman" w:hAnsi="Times New Roman" w:cs="Times New Roman"/>
                  <w:sz w:val="24"/>
                  <w:szCs w:val="24"/>
                  <w:u w:val="single"/>
                </w:rPr>
                <w:t> (</w:t>
              </w:r>
              <w:r w:rsidRPr="002A6EDB">
                <w:rPr>
                  <w:rFonts w:ascii="Times New Roman" w:hAnsi="Times New Roman" w:cs="Times New Roman"/>
                  <w:sz w:val="24"/>
                  <w:szCs w:val="24"/>
                  <w:u w:val="single"/>
                  <w:vertAlign w:val="superscript"/>
                </w:rPr>
                <w:t>12</w:t>
              </w:r>
              <w:r w:rsidRPr="002A6EDB">
                <w:rPr>
                  <w:rFonts w:ascii="Times New Roman" w:hAnsi="Times New Roman" w:cs="Times New Roman"/>
                  <w:sz w:val="24"/>
                  <w:szCs w:val="24"/>
                  <w:u w:val="single"/>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A3AE2F4"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0219DCE"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100%</w:t>
            </w:r>
          </w:p>
        </w:tc>
      </w:tr>
      <w:tr w:rsidR="002A6EDB" w:rsidRPr="002A6EDB" w14:paraId="10967040"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6B12F7D"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046</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677CE8B"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Рехабилитация на промишлени обекти и замърсена земя</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D3B4EFD"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75204FF"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100%</w:t>
            </w:r>
          </w:p>
        </w:tc>
      </w:tr>
      <w:tr w:rsidR="002A6EDB" w:rsidRPr="002A6EDB" w14:paraId="59560B1A"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65CF0E8"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046а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692F42F"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Рехабилитация на промишлени обекти и замърсена земя, отговаряща на критериите за енергийна ефективност</w:t>
            </w:r>
            <w:hyperlink r:id="rId22" w:anchor="ntr13-L_2021057BG.01006301-E0013" w:history="1">
              <w:r w:rsidRPr="002A6EDB">
                <w:rPr>
                  <w:rFonts w:ascii="Times New Roman" w:hAnsi="Times New Roman" w:cs="Times New Roman"/>
                  <w:sz w:val="24"/>
                  <w:szCs w:val="24"/>
                  <w:u w:val="single"/>
                </w:rPr>
                <w:t> (</w:t>
              </w:r>
              <w:r w:rsidRPr="002A6EDB">
                <w:rPr>
                  <w:rFonts w:ascii="Times New Roman" w:hAnsi="Times New Roman" w:cs="Times New Roman"/>
                  <w:sz w:val="24"/>
                  <w:szCs w:val="24"/>
                  <w:u w:val="single"/>
                  <w:vertAlign w:val="superscript"/>
                </w:rPr>
                <w:t>13</w:t>
              </w:r>
              <w:r w:rsidRPr="002A6EDB">
                <w:rPr>
                  <w:rFonts w:ascii="Times New Roman" w:hAnsi="Times New Roman" w:cs="Times New Roman"/>
                  <w:sz w:val="24"/>
                  <w:szCs w:val="24"/>
                  <w:u w:val="single"/>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EAE8B50"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923468A"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100%</w:t>
            </w:r>
          </w:p>
        </w:tc>
      </w:tr>
      <w:tr w:rsidR="002A6EDB" w:rsidRPr="002A6EDB" w14:paraId="62181382"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4F4BEBC"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047</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C46076A"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Подкрепа за благоприятни за околната среда производствени процеси и ефективно използване на ресурсите в МСП</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5975489"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992DC3F"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40%</w:t>
            </w:r>
          </w:p>
        </w:tc>
      </w:tr>
      <w:tr w:rsidR="002A6EDB" w:rsidRPr="002A6EDB" w14:paraId="76A4613F"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0B14C06"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047а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CBE6E4D"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Подпомагане за екологосъобразни производствени процеси и ефективно използване на ресурсите в големи предприятия</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09A5DEE"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D126B1E"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40%</w:t>
            </w:r>
          </w:p>
        </w:tc>
      </w:tr>
      <w:tr w:rsidR="002A6EDB" w:rsidRPr="002A6EDB" w14:paraId="63024CB7"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B3397C3"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048</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551E0A5"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Мерки за намаляване на шума и за качеството на въздуха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123D462"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697A783"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100%</w:t>
            </w:r>
          </w:p>
        </w:tc>
      </w:tr>
      <w:tr w:rsidR="002A6EDB" w:rsidRPr="002A6EDB" w14:paraId="2B75DE09"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A45F98C"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049</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9834D5F"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Опазване, възстановяване и устойчиво използване на защитените зони по „Натура 2000“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D3C035C"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259D60F"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100%</w:t>
            </w:r>
          </w:p>
        </w:tc>
      </w:tr>
      <w:tr w:rsidR="002A6EDB" w:rsidRPr="002A6EDB" w14:paraId="35CE2218"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3D3B7EA"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050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C437222"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Опазване на природата и биологичното разнообразие, природно наследство и ресурси, зелена и синя инфраструктура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27E724B"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7F38F52"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100%</w:t>
            </w:r>
          </w:p>
        </w:tc>
      </w:tr>
      <w:tr w:rsidR="002A6EDB" w:rsidRPr="002A6EDB" w14:paraId="0D5120BF"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FFEBC60"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051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A8D778F"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ИКТ: Широколентова мрежа с много висок капацитет (основна/преносна мрежа)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03063C5"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B704699"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703401B3"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C61E599"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052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2B210D9"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 xml:space="preserve">ИКТ: Широколентовата мрежа с много висок капацитет (абонатен достъп/абонатна линия с ефективност, еквивалентна на инсталация от оптични влакна до разпределителната точка в обслужвания район за </w:t>
            </w:r>
            <w:proofErr w:type="spellStart"/>
            <w:r w:rsidRPr="002A6EDB">
              <w:rPr>
                <w:rFonts w:ascii="Times New Roman" w:hAnsi="Times New Roman" w:cs="Times New Roman"/>
                <w:sz w:val="24"/>
                <w:szCs w:val="24"/>
              </w:rPr>
              <w:t>многофамилни</w:t>
            </w:r>
            <w:proofErr w:type="spellEnd"/>
            <w:r w:rsidRPr="002A6EDB">
              <w:rPr>
                <w:rFonts w:ascii="Times New Roman" w:hAnsi="Times New Roman" w:cs="Times New Roman"/>
                <w:sz w:val="24"/>
                <w:szCs w:val="24"/>
              </w:rPr>
              <w:t xml:space="preserve"> жилищни помещения)</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43D2ED3"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A3A0DE7"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63140FD7"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632255E"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053</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CD04C03"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ИКТ: Широколентовата мрежа с много висок капацитет (абонатен достъп/абонатна линия с ефективност, еквивалентна на инсталация от оптични влакна до разпределителната точка в обслужвания район за жилищни и офисни помещения)</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E00BFCA"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DCAAB21"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6350DE4A"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3B098E1"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054</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8E5A72F"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ИКТ: Широколентовата мрежа с много висок капацитет (абонатен достъп/абонатна линия с ефективност, еквивалентна на инсталация от оптични влакна до основната станция за по-усъвършенствани устройства за безжична връзка)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D4B9FCD"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93E3A56"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32DDD431"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06CB033"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lastRenderedPageBreak/>
              <w:t>055</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4B05CE8"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ИКТ: Други видове ИКТ инфраструктура (включително мащабни компютърни ресурси и оборудване, центрове за данни, датчици и друго безжично оборудване)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CE91BF5"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5E23A27"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25B2CEF2"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3223678"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055а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29044D4"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ИКТ: Други видове ИКТ инфраструктура (включително големи компютърни ресурси/оборудване, центрове за данни, датчици и друго безжично оборудване), които отговарят на критериите за намаляване на въглеродните емисии и за енергийна ефективност</w:t>
            </w:r>
            <w:hyperlink r:id="rId23" w:anchor="ntr2-L_2021057BG.01006301-E0002" w:history="1">
              <w:r w:rsidRPr="002A6EDB">
                <w:rPr>
                  <w:rFonts w:ascii="Times New Roman" w:hAnsi="Times New Roman" w:cs="Times New Roman"/>
                  <w:sz w:val="24"/>
                  <w:szCs w:val="24"/>
                  <w:u w:val="single"/>
                </w:rPr>
                <w:t> (</w:t>
              </w:r>
              <w:r w:rsidRPr="002A6EDB">
                <w:rPr>
                  <w:rFonts w:ascii="Times New Roman" w:hAnsi="Times New Roman" w:cs="Times New Roman"/>
                  <w:sz w:val="24"/>
                  <w:szCs w:val="24"/>
                  <w:u w:val="single"/>
                  <w:vertAlign w:val="superscript"/>
                </w:rPr>
                <w:t>2</w:t>
              </w:r>
              <w:r w:rsidRPr="002A6EDB">
                <w:rPr>
                  <w:rFonts w:ascii="Times New Roman" w:hAnsi="Times New Roman" w:cs="Times New Roman"/>
                  <w:sz w:val="24"/>
                  <w:szCs w:val="24"/>
                  <w:u w:val="single"/>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3AD4B71"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A33F10A"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370C1E7A"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7B9EA3C"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056</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25BF536"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Новопостроени или модернизирани автомагистрали и пътища — основна мрежа на TEN-T</w:t>
            </w:r>
            <w:hyperlink r:id="rId24" w:anchor="ntr14-L_2021057BG.01006301-E0014" w:history="1">
              <w:r w:rsidRPr="002A6EDB">
                <w:rPr>
                  <w:rFonts w:ascii="Times New Roman" w:hAnsi="Times New Roman" w:cs="Times New Roman"/>
                  <w:sz w:val="24"/>
                  <w:szCs w:val="24"/>
                  <w:u w:val="single"/>
                </w:rPr>
                <w:t> (</w:t>
              </w:r>
              <w:r w:rsidRPr="002A6EDB">
                <w:rPr>
                  <w:rFonts w:ascii="Times New Roman" w:hAnsi="Times New Roman" w:cs="Times New Roman"/>
                  <w:sz w:val="24"/>
                  <w:szCs w:val="24"/>
                  <w:u w:val="single"/>
                  <w:vertAlign w:val="superscript"/>
                </w:rPr>
                <w:t>14</w:t>
              </w:r>
              <w:r w:rsidRPr="002A6EDB">
                <w:rPr>
                  <w:rFonts w:ascii="Times New Roman" w:hAnsi="Times New Roman" w:cs="Times New Roman"/>
                  <w:sz w:val="24"/>
                  <w:szCs w:val="24"/>
                  <w:u w:val="single"/>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CDAE44B"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474FC9F"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2E0BC485"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6FA096E"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057</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148BC5F"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 xml:space="preserve">Новопостроени или модернизирани автомагистрали и пътища — </w:t>
            </w:r>
            <w:proofErr w:type="spellStart"/>
            <w:r w:rsidRPr="002A6EDB">
              <w:rPr>
                <w:rFonts w:ascii="Times New Roman" w:hAnsi="Times New Roman" w:cs="Times New Roman"/>
                <w:sz w:val="24"/>
                <w:szCs w:val="24"/>
              </w:rPr>
              <w:t>широкообхватна</w:t>
            </w:r>
            <w:proofErr w:type="spellEnd"/>
            <w:r w:rsidRPr="002A6EDB">
              <w:rPr>
                <w:rFonts w:ascii="Times New Roman" w:hAnsi="Times New Roman" w:cs="Times New Roman"/>
                <w:sz w:val="24"/>
                <w:szCs w:val="24"/>
              </w:rPr>
              <w:t xml:space="preserve"> мрежа на TEN-T</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E6F4234"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D4BBFDA"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2E8E7FAF"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47EF03F"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058</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4D350C4"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Новопостроени или модернизирани второстепенни пътни връзки към пътната мрежа и възли на TEN-T</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9CE4BAB"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A399825"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2C0B349E"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BC537EA"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059</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7FECF98"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Новопостроени или модернизирани други национални, регионални и местни пътища за достъп</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56ECDEB"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6DE5FBA"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32F2CFF1"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4EE6744"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060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8FC7BB1"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Реконструирани или модернизирани автомагистрали и пътища — основна мрежа на TEN-T</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921DC90"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317610D"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0C9C8255"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8202E71"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061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5A26004"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 xml:space="preserve">Реконструирани или модернизирани автомагистрали и пътища — </w:t>
            </w:r>
            <w:proofErr w:type="spellStart"/>
            <w:r w:rsidRPr="002A6EDB">
              <w:rPr>
                <w:rFonts w:ascii="Times New Roman" w:hAnsi="Times New Roman" w:cs="Times New Roman"/>
                <w:sz w:val="24"/>
                <w:szCs w:val="24"/>
              </w:rPr>
              <w:t>широкообхватна</w:t>
            </w:r>
            <w:proofErr w:type="spellEnd"/>
            <w:r w:rsidRPr="002A6EDB">
              <w:rPr>
                <w:rFonts w:ascii="Times New Roman" w:hAnsi="Times New Roman" w:cs="Times New Roman"/>
                <w:sz w:val="24"/>
                <w:szCs w:val="24"/>
              </w:rPr>
              <w:t xml:space="preserve"> мрежа на TEN-T</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14A77C8"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0E21716"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34E54A37"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B40BA76"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062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D3E3AED"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Други реконструирани или модернизирани пътища (магистрала, национален, регионален или местен път)</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7676BE4"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5A2E2D7"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33A8F23F"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B5D0056"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063</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9E2D3B6"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Цифровизация на транспорта: път</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DE0B93F"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12F6E58"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0A117D94"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3623147"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063а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9095B32"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Цифровизация на транспорта, когато е посветена отчасти на намаляването на емисиите на парникови газове: път</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6FC3DF2"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5E129E7"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1C5FC5A1"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C0B5781"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064</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A28C74E"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Новопостроени или модернизирани железопътни линии — основна мрежа на TEN-T</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972D433"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54392B3"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40%</w:t>
            </w:r>
          </w:p>
        </w:tc>
      </w:tr>
      <w:tr w:rsidR="002A6EDB" w:rsidRPr="002A6EDB" w14:paraId="4BD8C519"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12D7AD8"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065</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8CE83A3"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 xml:space="preserve">Новопостроени или модернизирани железопътни линии — </w:t>
            </w:r>
            <w:proofErr w:type="spellStart"/>
            <w:r w:rsidRPr="002A6EDB">
              <w:rPr>
                <w:rFonts w:ascii="Times New Roman" w:hAnsi="Times New Roman" w:cs="Times New Roman"/>
                <w:sz w:val="24"/>
                <w:szCs w:val="24"/>
              </w:rPr>
              <w:t>широкообхватна</w:t>
            </w:r>
            <w:proofErr w:type="spellEnd"/>
            <w:r w:rsidRPr="002A6EDB">
              <w:rPr>
                <w:rFonts w:ascii="Times New Roman" w:hAnsi="Times New Roman" w:cs="Times New Roman"/>
                <w:sz w:val="24"/>
                <w:szCs w:val="24"/>
              </w:rPr>
              <w:t xml:space="preserve"> мрежа на TEN-T</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59CF5E1"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191A7A3"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40%</w:t>
            </w:r>
          </w:p>
        </w:tc>
      </w:tr>
      <w:tr w:rsidR="002A6EDB" w:rsidRPr="002A6EDB" w14:paraId="436C52FF"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60E225A"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066</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748CCEE"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Други новопостроени или модернизирани железопътни линии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EEAB86D"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DB21213"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40%</w:t>
            </w:r>
          </w:p>
        </w:tc>
      </w:tr>
      <w:tr w:rsidR="002A6EDB" w:rsidRPr="002A6EDB" w14:paraId="4AF3581E"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DB8D049"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066а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61B5D95"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Други новопостроени или модернизирани железопътни линии — електрически/нулеви емисии</w:t>
            </w:r>
            <w:hyperlink r:id="rId25" w:anchor="ntr15-L_2021057BG.01006301-E0015" w:history="1">
              <w:r w:rsidRPr="002A6EDB">
                <w:rPr>
                  <w:rFonts w:ascii="Times New Roman" w:hAnsi="Times New Roman" w:cs="Times New Roman"/>
                  <w:sz w:val="24"/>
                  <w:szCs w:val="24"/>
                  <w:u w:val="single"/>
                </w:rPr>
                <w:t> (</w:t>
              </w:r>
              <w:r w:rsidRPr="002A6EDB">
                <w:rPr>
                  <w:rFonts w:ascii="Times New Roman" w:hAnsi="Times New Roman" w:cs="Times New Roman"/>
                  <w:sz w:val="24"/>
                  <w:szCs w:val="24"/>
                  <w:u w:val="single"/>
                  <w:vertAlign w:val="superscript"/>
                </w:rPr>
                <w:t>15</w:t>
              </w:r>
              <w:r w:rsidRPr="002A6EDB">
                <w:rPr>
                  <w:rFonts w:ascii="Times New Roman" w:hAnsi="Times New Roman" w:cs="Times New Roman"/>
                  <w:sz w:val="24"/>
                  <w:szCs w:val="24"/>
                  <w:u w:val="single"/>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2E1E789"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F7C3468"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40%</w:t>
            </w:r>
          </w:p>
        </w:tc>
      </w:tr>
      <w:tr w:rsidR="002A6EDB" w:rsidRPr="002A6EDB" w14:paraId="11F517E0"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4885BAD"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lastRenderedPageBreak/>
              <w:t>067</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E31E174"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Реконструирани или модернизирани железопътни линии — основна мрежа на TEN-T</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AA2DE4E"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53734E5"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40%</w:t>
            </w:r>
          </w:p>
        </w:tc>
      </w:tr>
      <w:tr w:rsidR="002A6EDB" w:rsidRPr="002A6EDB" w14:paraId="164A0EAC"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2A1A852"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068</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EC31142"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 xml:space="preserve">Реконструирани или модернизирани железопътни линии — </w:t>
            </w:r>
            <w:proofErr w:type="spellStart"/>
            <w:r w:rsidRPr="002A6EDB">
              <w:rPr>
                <w:rFonts w:ascii="Times New Roman" w:hAnsi="Times New Roman" w:cs="Times New Roman"/>
                <w:sz w:val="24"/>
                <w:szCs w:val="24"/>
              </w:rPr>
              <w:t>широкообхватна</w:t>
            </w:r>
            <w:proofErr w:type="spellEnd"/>
            <w:r w:rsidRPr="002A6EDB">
              <w:rPr>
                <w:rFonts w:ascii="Times New Roman" w:hAnsi="Times New Roman" w:cs="Times New Roman"/>
                <w:sz w:val="24"/>
                <w:szCs w:val="24"/>
              </w:rPr>
              <w:t xml:space="preserve"> мрежа на TEN-T</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C79BEAF"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59528C7"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40%</w:t>
            </w:r>
          </w:p>
        </w:tc>
      </w:tr>
      <w:tr w:rsidR="002A6EDB" w:rsidRPr="002A6EDB" w14:paraId="27B88343"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2218EB0"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069</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C6BC43D"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Други реконструирани или модернизирани железопътни линии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D542AE1"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0FDE7F6"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40%</w:t>
            </w:r>
          </w:p>
        </w:tc>
      </w:tr>
      <w:tr w:rsidR="002A6EDB" w:rsidRPr="002A6EDB" w14:paraId="13DD47A8"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C907256"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069а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C7F4024"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Други реконструирани или модернизирани железопътни линии — електрически/нулеви емисии</w:t>
            </w:r>
            <w:hyperlink r:id="rId26" w:anchor="ntr15-L_2021057BG.01006301-E0015" w:history="1">
              <w:r w:rsidRPr="002A6EDB">
                <w:rPr>
                  <w:rFonts w:ascii="Times New Roman" w:hAnsi="Times New Roman" w:cs="Times New Roman"/>
                  <w:sz w:val="24"/>
                  <w:szCs w:val="24"/>
                  <w:u w:val="single"/>
                </w:rPr>
                <w:t> (</w:t>
              </w:r>
              <w:r w:rsidRPr="002A6EDB">
                <w:rPr>
                  <w:rFonts w:ascii="Times New Roman" w:hAnsi="Times New Roman" w:cs="Times New Roman"/>
                  <w:sz w:val="24"/>
                  <w:szCs w:val="24"/>
                  <w:u w:val="single"/>
                  <w:vertAlign w:val="superscript"/>
                </w:rPr>
                <w:t>15</w:t>
              </w:r>
              <w:r w:rsidRPr="002A6EDB">
                <w:rPr>
                  <w:rFonts w:ascii="Times New Roman" w:hAnsi="Times New Roman" w:cs="Times New Roman"/>
                  <w:sz w:val="24"/>
                  <w:szCs w:val="24"/>
                  <w:u w:val="single"/>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8CCA714"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E3289CD"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40%</w:t>
            </w:r>
          </w:p>
        </w:tc>
      </w:tr>
      <w:tr w:rsidR="002A6EDB" w:rsidRPr="002A6EDB" w14:paraId="5A47EA9F"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B12A4C4"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070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547B78B"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Цифровизация на транспорта: железници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B58F5C9"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ED9F2E5"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22E7201C"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400AEC8"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071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93DDA09"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Европейска система за управление на железопътното движение (ERTMS)</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4E291FD"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3078788"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40%</w:t>
            </w:r>
          </w:p>
        </w:tc>
      </w:tr>
      <w:tr w:rsidR="002A6EDB" w:rsidRPr="002A6EDB" w14:paraId="4F8D3A1A"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7C79263"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072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E47ACFD"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Подвижен железопътен състав</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EC45B9E"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DFBCA50"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40%</w:t>
            </w:r>
          </w:p>
        </w:tc>
      </w:tr>
      <w:tr w:rsidR="002A6EDB" w:rsidRPr="002A6EDB" w14:paraId="018FDF42"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7FAC584"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072а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A78637E"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Мобилни железопътни активи с нулеви емисии/електрическо задвижване</w:t>
            </w:r>
            <w:hyperlink r:id="rId27" w:anchor="ntr16-L_2021057BG.01006301-E0016" w:history="1">
              <w:r w:rsidRPr="002A6EDB">
                <w:rPr>
                  <w:rFonts w:ascii="Times New Roman" w:hAnsi="Times New Roman" w:cs="Times New Roman"/>
                  <w:sz w:val="24"/>
                  <w:szCs w:val="24"/>
                  <w:u w:val="single"/>
                </w:rPr>
                <w:t> (</w:t>
              </w:r>
              <w:r w:rsidRPr="002A6EDB">
                <w:rPr>
                  <w:rFonts w:ascii="Times New Roman" w:hAnsi="Times New Roman" w:cs="Times New Roman"/>
                  <w:sz w:val="24"/>
                  <w:szCs w:val="24"/>
                  <w:u w:val="single"/>
                  <w:vertAlign w:val="superscript"/>
                </w:rPr>
                <w:t>16</w:t>
              </w:r>
              <w:r w:rsidRPr="002A6EDB">
                <w:rPr>
                  <w:rFonts w:ascii="Times New Roman" w:hAnsi="Times New Roman" w:cs="Times New Roman"/>
                  <w:sz w:val="24"/>
                  <w:szCs w:val="24"/>
                  <w:u w:val="single"/>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78DD36F"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6F50A11"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40%</w:t>
            </w:r>
          </w:p>
        </w:tc>
      </w:tr>
      <w:tr w:rsidR="002A6EDB" w:rsidRPr="002A6EDB" w14:paraId="5238A1D2"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774997B"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073</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F30C77F"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Инфраструктура за чист градски транспорт</w:t>
            </w:r>
            <w:hyperlink r:id="rId28" w:anchor="ntr17-L_2021057BG.01006301-E0017" w:history="1">
              <w:r w:rsidRPr="002A6EDB">
                <w:rPr>
                  <w:rFonts w:ascii="Times New Roman" w:hAnsi="Times New Roman" w:cs="Times New Roman"/>
                  <w:sz w:val="24"/>
                  <w:szCs w:val="24"/>
                  <w:u w:val="single"/>
                </w:rPr>
                <w:t> (</w:t>
              </w:r>
              <w:r w:rsidRPr="002A6EDB">
                <w:rPr>
                  <w:rFonts w:ascii="Times New Roman" w:hAnsi="Times New Roman" w:cs="Times New Roman"/>
                  <w:sz w:val="24"/>
                  <w:szCs w:val="24"/>
                  <w:u w:val="single"/>
                  <w:vertAlign w:val="superscript"/>
                </w:rPr>
                <w:t>17</w:t>
              </w:r>
              <w:r w:rsidRPr="002A6EDB">
                <w:rPr>
                  <w:rFonts w:ascii="Times New Roman" w:hAnsi="Times New Roman" w:cs="Times New Roman"/>
                  <w:sz w:val="24"/>
                  <w:szCs w:val="24"/>
                  <w:u w:val="single"/>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D6220E0"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8940961"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40%</w:t>
            </w:r>
          </w:p>
        </w:tc>
      </w:tr>
      <w:tr w:rsidR="002A6EDB" w:rsidRPr="002A6EDB" w14:paraId="0D2194F0"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1A4D3BC"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074</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B5BBEBF"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Подвижен състав за чист градски транспорт</w:t>
            </w:r>
            <w:hyperlink r:id="rId29" w:anchor="ntr18-L_2021057BG.01006301-E0018" w:history="1">
              <w:r w:rsidRPr="002A6EDB">
                <w:rPr>
                  <w:rFonts w:ascii="Times New Roman" w:hAnsi="Times New Roman" w:cs="Times New Roman"/>
                  <w:sz w:val="24"/>
                  <w:szCs w:val="24"/>
                  <w:u w:val="single"/>
                </w:rPr>
                <w:t> (</w:t>
              </w:r>
              <w:r w:rsidRPr="002A6EDB">
                <w:rPr>
                  <w:rFonts w:ascii="Times New Roman" w:hAnsi="Times New Roman" w:cs="Times New Roman"/>
                  <w:sz w:val="24"/>
                  <w:szCs w:val="24"/>
                  <w:u w:val="single"/>
                  <w:vertAlign w:val="superscript"/>
                </w:rPr>
                <w:t>18</w:t>
              </w:r>
              <w:r w:rsidRPr="002A6EDB">
                <w:rPr>
                  <w:rFonts w:ascii="Times New Roman" w:hAnsi="Times New Roman" w:cs="Times New Roman"/>
                  <w:sz w:val="24"/>
                  <w:szCs w:val="24"/>
                  <w:u w:val="single"/>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9B16AFE"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66288AA"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40%</w:t>
            </w:r>
          </w:p>
        </w:tc>
      </w:tr>
      <w:tr w:rsidR="002A6EDB" w:rsidRPr="002A6EDB" w14:paraId="383A21ED"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C5B70FC"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075</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B0A5D6C"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Велосипедна инфраструктура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7AEC4F7"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6C6EB35"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100%</w:t>
            </w:r>
          </w:p>
        </w:tc>
      </w:tr>
      <w:tr w:rsidR="002A6EDB" w:rsidRPr="002A6EDB" w14:paraId="02E4106D"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9345A7D"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076</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8803BA2"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Цифровизация на градския транспорт</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A7CA7F8"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B44A113"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4F627CDA"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256D3C2"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076а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80668C2"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Цифровизация на транспорта, когато е посветена отчасти на намаляването на емисиите на парникови газове: градски транспорт</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8EDBC8F"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3675CDE"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1E8C65C2"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05C869F"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077</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8A549EB"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Инфраструктура за алтернативни горива</w:t>
            </w:r>
            <w:hyperlink r:id="rId30" w:anchor="ntr19-L_2021057BG.01006301-E0019" w:history="1">
              <w:r w:rsidRPr="002A6EDB">
                <w:rPr>
                  <w:rFonts w:ascii="Times New Roman" w:hAnsi="Times New Roman" w:cs="Times New Roman"/>
                  <w:sz w:val="24"/>
                  <w:szCs w:val="24"/>
                  <w:u w:val="single"/>
                </w:rPr>
                <w:t> (</w:t>
              </w:r>
              <w:r w:rsidRPr="002A6EDB">
                <w:rPr>
                  <w:rFonts w:ascii="Times New Roman" w:hAnsi="Times New Roman" w:cs="Times New Roman"/>
                  <w:sz w:val="24"/>
                  <w:szCs w:val="24"/>
                  <w:u w:val="single"/>
                  <w:vertAlign w:val="superscript"/>
                </w:rPr>
                <w:t>19</w:t>
              </w:r>
              <w:r w:rsidRPr="002A6EDB">
                <w:rPr>
                  <w:rFonts w:ascii="Times New Roman" w:hAnsi="Times New Roman" w:cs="Times New Roman"/>
                  <w:sz w:val="24"/>
                  <w:szCs w:val="24"/>
                  <w:u w:val="single"/>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8119324"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5468C98"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40%</w:t>
            </w:r>
          </w:p>
        </w:tc>
      </w:tr>
      <w:tr w:rsidR="002A6EDB" w:rsidRPr="002A6EDB" w14:paraId="2C3977FD"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B288258"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078</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C1D2CA8" w14:textId="77777777" w:rsidR="002A6EDB" w:rsidRPr="002A6EDB" w:rsidRDefault="002A6EDB" w:rsidP="002A6EDB">
            <w:pPr>
              <w:spacing w:after="0" w:line="276" w:lineRule="auto"/>
              <w:jc w:val="both"/>
              <w:rPr>
                <w:rFonts w:ascii="Times New Roman" w:hAnsi="Times New Roman" w:cs="Times New Roman"/>
                <w:sz w:val="24"/>
                <w:szCs w:val="24"/>
              </w:rPr>
            </w:pPr>
            <w:proofErr w:type="spellStart"/>
            <w:r w:rsidRPr="002A6EDB">
              <w:rPr>
                <w:rFonts w:ascii="Times New Roman" w:hAnsi="Times New Roman" w:cs="Times New Roman"/>
                <w:sz w:val="24"/>
                <w:szCs w:val="24"/>
              </w:rPr>
              <w:t>Мултимодален</w:t>
            </w:r>
            <w:proofErr w:type="spellEnd"/>
            <w:r w:rsidRPr="002A6EDB">
              <w:rPr>
                <w:rFonts w:ascii="Times New Roman" w:hAnsi="Times New Roman" w:cs="Times New Roman"/>
                <w:sz w:val="24"/>
                <w:szCs w:val="24"/>
              </w:rPr>
              <w:t xml:space="preserve"> транспорт (TEN-T)</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646F5D4"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B51CD30"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40%</w:t>
            </w:r>
          </w:p>
        </w:tc>
      </w:tr>
      <w:tr w:rsidR="002A6EDB" w:rsidRPr="002A6EDB" w14:paraId="197EB215"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3BCFEAD"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079</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482FD8C" w14:textId="77777777" w:rsidR="002A6EDB" w:rsidRPr="002A6EDB" w:rsidRDefault="002A6EDB" w:rsidP="002A6EDB">
            <w:pPr>
              <w:spacing w:after="0" w:line="276" w:lineRule="auto"/>
              <w:jc w:val="both"/>
              <w:rPr>
                <w:rFonts w:ascii="Times New Roman" w:hAnsi="Times New Roman" w:cs="Times New Roman"/>
                <w:sz w:val="24"/>
                <w:szCs w:val="24"/>
              </w:rPr>
            </w:pPr>
            <w:proofErr w:type="spellStart"/>
            <w:r w:rsidRPr="002A6EDB">
              <w:rPr>
                <w:rFonts w:ascii="Times New Roman" w:hAnsi="Times New Roman" w:cs="Times New Roman"/>
                <w:sz w:val="24"/>
                <w:szCs w:val="24"/>
              </w:rPr>
              <w:t>Мултимодален</w:t>
            </w:r>
            <w:proofErr w:type="spellEnd"/>
            <w:r w:rsidRPr="002A6EDB">
              <w:rPr>
                <w:rFonts w:ascii="Times New Roman" w:hAnsi="Times New Roman" w:cs="Times New Roman"/>
                <w:sz w:val="24"/>
                <w:szCs w:val="24"/>
              </w:rPr>
              <w:t xml:space="preserve"> транспорт (извънградски)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045E7BB"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4D7E525"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40%</w:t>
            </w:r>
          </w:p>
        </w:tc>
      </w:tr>
      <w:tr w:rsidR="002A6EDB" w:rsidRPr="002A6EDB" w14:paraId="544E9AB0"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C828A00"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080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6F4E896"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Морски пристанища (TEN-T)</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C8B7A04"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DD4B5C9"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4416DC99"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6913464"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080а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B93D417"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Морски пристанища (TEN-T), с изключение на съоръженията, предназначени за транспорт на изкопаеми горива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13C688C"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58395CF"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1688B785"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C19AE7A"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081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0475071"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Други морски пристанища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AE5DBE4"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F316F54"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5D3218C6"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5F5202B"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081а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7DFC398"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Други морски пристанища, с изключение на съоръженията, предназначени за транспорт на изкопаеми горива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E5FA457"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6307CD8"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3BAB5DA6"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5ED4782"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082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ADD2F6D"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Вътрешни водни пътища и пристанища (TEN-T)</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2714355"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E3112CE"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74E4A8D9"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8348A0A"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082а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2A06837"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Вътрешни водни пътища и пристанища (TEN-T), с изключение на съоръженията, предназначени за транспорт на изкопаеми горива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ECAE3DD"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89485F9"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79547158"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32E95BB"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083</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D32D504"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Вътрешни водни пътища и пристанища (регионални и местни)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222C922"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B8ADD30"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2F2A26D7"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78D474A"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083а0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1F4A159"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 xml:space="preserve">Вътрешни водни пътища и пристанища (регионални и местни), с изключение на </w:t>
            </w:r>
            <w:r w:rsidRPr="002A6EDB">
              <w:rPr>
                <w:rFonts w:ascii="Times New Roman" w:hAnsi="Times New Roman" w:cs="Times New Roman"/>
                <w:sz w:val="24"/>
                <w:szCs w:val="24"/>
              </w:rPr>
              <w:lastRenderedPageBreak/>
              <w:t>съоръженията, предназначени за транспорт на изкопаеми горива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0DEA766"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lastRenderedPageBreak/>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8C8EC9D"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6E7AC6B7"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F20DDD8"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083а1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AEB9C35"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Системи за сигурност, безопасност и управление на въздушното движение за съществуващи летища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BD47718"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0E9A565"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5564C444"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7264F11"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084</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3B4314B"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Цифровизация на транспорта: други видове транспорт</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2D3D64D"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3D10977"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0952A9A5"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5CA51BA"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084а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DAE0B10"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Цифровизация на транспорта, когато е посветена отчасти на намаляването на емисиите на парникови газове: други видове транспорт</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8EB2B05"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0DE403A"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4E06E040"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342D7BD"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085</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65B3B5C"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Инфраструктура в областта на образованието и грижите в ранна детска възраст</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5012020"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73A2E16"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527D50AD"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8D5E46B"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086</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0A8CFA9"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Инфраструктура за начално и средно образование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7336ABA"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A921D5C"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390CFEEF"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C8CD93C"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087</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276AB37"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Инфраструктура за висше образование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D931D59"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FD993EE"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3F1CD0DA"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29CD8C3"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088</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63484B0"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Инфраструктура за професионално образование и обучение и учене за възрастни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7D3113A"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748CE3C"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3496164E"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F851B2E"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089</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0708156"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 xml:space="preserve">Жилищна инфраструктура за </w:t>
            </w:r>
            <w:proofErr w:type="spellStart"/>
            <w:r w:rsidRPr="002A6EDB">
              <w:rPr>
                <w:rFonts w:ascii="Times New Roman" w:hAnsi="Times New Roman" w:cs="Times New Roman"/>
                <w:sz w:val="24"/>
                <w:szCs w:val="24"/>
              </w:rPr>
              <w:t>мигранти</w:t>
            </w:r>
            <w:proofErr w:type="spellEnd"/>
            <w:r w:rsidRPr="002A6EDB">
              <w:rPr>
                <w:rFonts w:ascii="Times New Roman" w:hAnsi="Times New Roman" w:cs="Times New Roman"/>
                <w:sz w:val="24"/>
                <w:szCs w:val="24"/>
              </w:rPr>
              <w:t>, бежанци и лица под международна закрила или кандидатстващи за такава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71EA0FA"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D125D67"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2067DB19"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CE278A9"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090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73BF2CB"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 xml:space="preserve">Жилищна инфраструктура (различна от тази за </w:t>
            </w:r>
            <w:proofErr w:type="spellStart"/>
            <w:r w:rsidRPr="002A6EDB">
              <w:rPr>
                <w:rFonts w:ascii="Times New Roman" w:hAnsi="Times New Roman" w:cs="Times New Roman"/>
                <w:sz w:val="24"/>
                <w:szCs w:val="24"/>
              </w:rPr>
              <w:t>мигранти</w:t>
            </w:r>
            <w:proofErr w:type="spellEnd"/>
            <w:r w:rsidRPr="002A6EDB">
              <w:rPr>
                <w:rFonts w:ascii="Times New Roman" w:hAnsi="Times New Roman" w:cs="Times New Roman"/>
                <w:sz w:val="24"/>
                <w:szCs w:val="24"/>
              </w:rPr>
              <w:t>, бежанци и лица под международна закрила или кандидатстващи за такава)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1DE11E9"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F621260"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0E073E59"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B4D090D"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091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5610FB0"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Друга инфраструктура, която допринася за социалното приобщаване в общността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7A3B637"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E924FAC"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40E5DF0B"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6EF8D09"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092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F026EA7"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Здравна инфраструктура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B5BFB72"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2CA2B25"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7FDAE728"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DAA701A"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093</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E9B7DBF"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Оборудване за здравеопазване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E33DC3B"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694A717"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391B9851"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BE2E684"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094</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AB20888"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Мобилни активи в областта на здравеопазването</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AFE142F"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059338E"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416790D0"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2AF2B12"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095</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51454F7"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Цифровизация в областта на здравеопазването</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80C5249"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BBD8A18"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1F927012"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D2B4A16"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096</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0C6159E"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 xml:space="preserve">Инфраструктура за временно приемане на </w:t>
            </w:r>
            <w:proofErr w:type="spellStart"/>
            <w:r w:rsidRPr="002A6EDB">
              <w:rPr>
                <w:rFonts w:ascii="Times New Roman" w:hAnsi="Times New Roman" w:cs="Times New Roman"/>
                <w:sz w:val="24"/>
                <w:szCs w:val="24"/>
              </w:rPr>
              <w:t>мигранти</w:t>
            </w:r>
            <w:proofErr w:type="spellEnd"/>
            <w:r w:rsidRPr="002A6EDB">
              <w:rPr>
                <w:rFonts w:ascii="Times New Roman" w:hAnsi="Times New Roman" w:cs="Times New Roman"/>
                <w:sz w:val="24"/>
                <w:szCs w:val="24"/>
              </w:rPr>
              <w:t>, бежанци и лица под международна закрила или кандидатстващи за такава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A383042"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8A00FFF"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4803942E"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FE2327D"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097</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3B7B7FB"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Мерки за подобряване на достъпа до пазара на труда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A19F878"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15DD6BB"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0004F94A"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C589728"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DABA954"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Мерки за насърчаване на достъпа до заетост на трайно безработни лица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D8BE684"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B17181E"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23A7F81C"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9DC3CCF"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099</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115C27D"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Специфично подпомагане за младежка заетост и социално-икономическа интеграция на младите хора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AD335AF"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3BF7994"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400B6E64"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DE61FBD"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05C8023"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Подпомагане за самостоятелна заетост и започване на стопанска дейност</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7AC7689"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E4C4BF9"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22120601"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196D17D"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101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1EF761C"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Подпомагане за социалната икономика и социалните предприятия</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A92F7E0"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33C0ED6"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3908436D"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87D1B2C"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102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2883369"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 xml:space="preserve">Мерки за модернизиране и укрепване на институциите на пазара на труда, както и услуги за оценка и предвиждане на потребностите от </w:t>
            </w:r>
            <w:r w:rsidRPr="002A6EDB">
              <w:rPr>
                <w:rFonts w:ascii="Times New Roman" w:hAnsi="Times New Roman" w:cs="Times New Roman"/>
                <w:sz w:val="24"/>
                <w:szCs w:val="24"/>
              </w:rPr>
              <w:lastRenderedPageBreak/>
              <w:t>умения и за гарантиране на навременна и целесъобразна помощ</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E29277A"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lastRenderedPageBreak/>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BDC2F1D"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69D3E34F"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D0F88EA"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103</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8042418"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Подпомагане за постигане на съответствие между търсенето и предлагането на пазара на труда и преходите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1E97134"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3A8B27B"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7263E336"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0C44A9C"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104</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56EEE49"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Подпомагане за мобилността на работната сила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BB80F0F"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F267BB0"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54A3813D"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D107D95"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105</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CAEBDC7"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Мерки за насърчаване на участието на жените на пазара на труда и за намаляване на основаното на пола разделение на пазара на труда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6B376D9"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DE350E7"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3D8E5EBF"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FA1DA67"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106</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F4461B5"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Мерки за насърчаване на равновесието между професионалния и личния живот, включително достъп до грижи за деца и за зависими лица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D6530C0"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E0C00FA"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444FDFDF"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9D59CC1"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107</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2EB6A03"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Мерки за здравословна и адаптирана работна среда, насочена към справяне с рисковете за здравето, включително насърчаване на физическата активност</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C4EBD06"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3B6510B"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2FA0284F"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74C55CA"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108</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683EFD0"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Подкрепа за развитието на цифровите умения</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E93D8B4"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8ED3893"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5A976A8C"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E372E6D"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109</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5FCC944"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Подпомагане на работниците, предприятията и предприемачите за приспособяването им към промените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DC1FBFD"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5ECDAEC"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0BBBBF9C"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DDF5C64"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110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CE858DE"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Мерки за насърчаване на активния живот на възрастните хора и остаряването в добро здраве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8A63641"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B7C5453"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5972031E"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CB273C7"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111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510644C"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Подпомагане за образованието и грижите в ранна детска възраст (с изключение на инфраструктурата)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0E48AA2"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AA72637"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61A0D84B"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5EE73DD"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112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7DF9039"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Подпомагане за начално до средно образование (с изключение на инфраструктурата)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6AC9141"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54D4D71"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09FB0A1D"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29692D4"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113</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58BCA33"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Подпомагане за висшето образование (с изключение на инфраструктурата)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ED8D1AF"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EF0E12B"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523D9C3A"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EBFA5B1"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114</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944691F"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Подпомагане за ученето за възрастни (с изключение на инфраструктурата)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0817A70"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2431306"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57F79E1B"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09F4F1D"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115</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AAAD08C"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Мерки за насърчаване на равните възможности и активното участие в обществото</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60F4980"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38387A5"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4E8C7A01"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179517E"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116</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63826E4"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Начини за интегриране и завръщане на работа на хора в неравностойно положение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338C3AF"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3B7D5A8"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49238BB4"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E314862"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117</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3B2D781"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 xml:space="preserve">Мерки за подобряване на достъпа на </w:t>
            </w:r>
            <w:proofErr w:type="spellStart"/>
            <w:r w:rsidRPr="002A6EDB">
              <w:rPr>
                <w:rFonts w:ascii="Times New Roman" w:hAnsi="Times New Roman" w:cs="Times New Roman"/>
                <w:sz w:val="24"/>
                <w:szCs w:val="24"/>
              </w:rPr>
              <w:t>маргинализирани</w:t>
            </w:r>
            <w:proofErr w:type="spellEnd"/>
            <w:r w:rsidRPr="002A6EDB">
              <w:rPr>
                <w:rFonts w:ascii="Times New Roman" w:hAnsi="Times New Roman" w:cs="Times New Roman"/>
                <w:sz w:val="24"/>
                <w:szCs w:val="24"/>
              </w:rPr>
              <w:t xml:space="preserve"> групи като ромите до образование, заетост и за насърчаване на социалното им приобщаване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F024C1A"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62E4BEC"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381ACC9A"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3B3529A"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118</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174D276"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 xml:space="preserve">Подпомагане на гражданското общество в работата с </w:t>
            </w:r>
            <w:proofErr w:type="spellStart"/>
            <w:r w:rsidRPr="002A6EDB">
              <w:rPr>
                <w:rFonts w:ascii="Times New Roman" w:hAnsi="Times New Roman" w:cs="Times New Roman"/>
                <w:sz w:val="24"/>
                <w:szCs w:val="24"/>
              </w:rPr>
              <w:t>маргинализирани</w:t>
            </w:r>
            <w:proofErr w:type="spellEnd"/>
            <w:r w:rsidRPr="002A6EDB">
              <w:rPr>
                <w:rFonts w:ascii="Times New Roman" w:hAnsi="Times New Roman" w:cs="Times New Roman"/>
                <w:sz w:val="24"/>
                <w:szCs w:val="24"/>
              </w:rPr>
              <w:t xml:space="preserve"> общности като ромите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9BABDBA"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C0D5FA3"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69EA98D3"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728085C"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119</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5D59826"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Специални действия за увеличаване на участието на граждани на трети държави на трудовия пазар</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E3AC4D7"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F9E608C"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58697986"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7F5B8CE"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lastRenderedPageBreak/>
              <w:t>120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8BFB517"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Мерки за социална интеграция на граждани на трети държави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D930FAB"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DCCE492"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6017FAF8"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167E444"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121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9ACF5B1"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Мерки за подобряване на равния и навременен достъп до качествени, устойчиви и достъпни услуги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B5A8435"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A8EB73A"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5AFC615F"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303E033"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122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6BCD1C8"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Мерки за подобряване на предоставянето на грижи в семейството и общността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4C8A38C"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0370D0D"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43654670"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F305574"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123</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C4B0022"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Мерки за подобряване на достъпността, ефективността и устойчивостта на здравните системи (с изключение на инфраструктурата)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450ECA6"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F935D0B"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6E492E30"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F4C0F8E"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124</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3FD7E65"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Мерки за по-добър достъп до дългосрочни грижи (с изключение на инфраструктурата)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EE6D14A"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7F7F39A"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46F50FCD"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87DE013"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125</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009FD76"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Мерки за модернизиране на системите за социална закрила, включително насърчаване на достъпа до социална закрила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A4D796C"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938111C"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1B96323E"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26C00E4"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126</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46B075D"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Насърчаване на социалното приобщаване на хората, изложени на риск от бедност или социално изключване, включително най-бедните и децата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9066123"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4C95A33"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5F592078"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C123496"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127</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17843F3"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Преодоляване на материалните лишения, дължащи се на храни и/или основно материално подпомагане за най-нуждаещите се лица, включително съпътстващи мерки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DD372A8"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3E26568"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7F5FD047"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93F85B0"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128</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4F8B8EF"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Опазване, развитие и популяризиране на публични туристически активи и туристически услуги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4DB7661"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2591AA4"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163993F7"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9C637AB"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129</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45268F8"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Опазване, развитие и популяризиране на културното наследство и културните услуги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891E7BB"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073D185"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520C4EF2"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9EE2A7F"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130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0E113B8"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Опазване, развитие и популяризиране на природното наследство и екотуризма извън рамките на защитените зони по „Натура 2000“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5BE3B8E"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DFF9BE3"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100%</w:t>
            </w:r>
          </w:p>
        </w:tc>
      </w:tr>
      <w:tr w:rsidR="002A6EDB" w:rsidRPr="002A6EDB" w14:paraId="58496714"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D3D80F1"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131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B886E05"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Физическо обновяване и сигурност на обществените пространства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BF1B92B"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3596A22"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7716C5BD"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304441C"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131 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5B5917B"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Инициативи за териториално развитие, включително изготвяне на териториални стратегии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19AF513"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0B8A820"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0DF9C56F"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FACD613"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132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49D7ED3"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Подобряване на капацитета на програмните органи и органите, свързани с усвояването на фондове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9176263"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1261B7F"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2475BDE9"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217F530"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133</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C25FF51"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Засилване на сътрудничеството с партньори както в рамките, така и извън държавата членка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8C087D7"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D280C8A"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333C1A0E"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4035AD3"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134</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FC03FEC"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Кръстосано финансиране по ЕФРР (подпомагане за свързани с ЕСФ действия, необходими за изпълнението на частта на ЕФРР от операцията и пряко свързани с нея)</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D611076"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FC13C88"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56983695"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3C04D40"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135</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36052A3"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 xml:space="preserve">Повишаване на институционалния капацитет на публичните органи и заинтересованите страни </w:t>
            </w:r>
            <w:r w:rsidRPr="002A6EDB">
              <w:rPr>
                <w:rFonts w:ascii="Times New Roman" w:hAnsi="Times New Roman" w:cs="Times New Roman"/>
                <w:sz w:val="24"/>
                <w:szCs w:val="24"/>
              </w:rPr>
              <w:lastRenderedPageBreak/>
              <w:t>за прилагането на проекти за териториално сътрудничество и инициативи в трансграничен, транснационален, морски и междурегионален контекст</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14F0E82"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lastRenderedPageBreak/>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0EC5C28"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689AEE3E"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872D9FB"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135 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9214295"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Европейско териториално сътрудничество: управление на преминаването на границите и управление на мобилността и миграцията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C042425"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5EB8D5C"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0D84A3F3"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AB2A90D"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136</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30C1A1C"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Най-отдалечени региони: компенсиране на допълнителните разходи вследствие на ограничения достъп и териториалната разпокъсаност</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2527B77"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1574F2A"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0E460054"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49262C4"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137</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EE3D51A"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Най-отдалечени региони: специфични действия за компенсиране на допълнителните разходи вследствие на фактори, свързани с размера на пазара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5732B1D"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E49BF8B"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74BBD5DB"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E875F46"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138</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A5EC238"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Най-отдалечени региони: подпомагане за компенсиране на допълнителните разходи, свързани с климатичните условия и затрудненията поради релефа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04DA441"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DA31725"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40%</w:t>
            </w:r>
          </w:p>
        </w:tc>
      </w:tr>
      <w:tr w:rsidR="002A6EDB" w:rsidRPr="002A6EDB" w14:paraId="464A444A"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50836A8"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139</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725ADDE"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Най-отдалечени региони: летища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B8BC12A"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B7E45D8"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6DE65469"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A2A960A"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ECAB83A"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Информация и комуникации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20A6490"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3C09378"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6857A44F"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8412D9E"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141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77FC869"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Подготовка, изпълнение, мониторинг и контрол</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C383EF5"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4D41C89"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4F79CF14"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5476429"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142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EDA3D3B"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Оценка и проучвания, събиране на данни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56BCD16"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3A797DE"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425DCCAF"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F0A0B49"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143</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F5F9AE8"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 xml:space="preserve">Укрепване на капацитета на органите на държавите членки, </w:t>
            </w:r>
            <w:proofErr w:type="spellStart"/>
            <w:r w:rsidRPr="002A6EDB">
              <w:rPr>
                <w:rFonts w:ascii="Times New Roman" w:hAnsi="Times New Roman" w:cs="Times New Roman"/>
                <w:sz w:val="24"/>
                <w:szCs w:val="24"/>
              </w:rPr>
              <w:t>бенефициерите</w:t>
            </w:r>
            <w:proofErr w:type="spellEnd"/>
            <w:r w:rsidRPr="002A6EDB">
              <w:rPr>
                <w:rFonts w:ascii="Times New Roman" w:hAnsi="Times New Roman" w:cs="Times New Roman"/>
                <w:sz w:val="24"/>
                <w:szCs w:val="24"/>
              </w:rPr>
              <w:t xml:space="preserve"> и съответните партньори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1C67046"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4CE1DE6"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0F2D7CA2" w14:textId="77777777" w:rsidTr="00E678B6">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3821E08"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1C6E52F"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Принос към „зелени“ умения и работни места и „зелена“ икономика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6531277"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BF849A1" w14:textId="77777777" w:rsidR="002A6EDB" w:rsidRPr="002A6EDB" w:rsidRDefault="002A6EDB" w:rsidP="002C2350">
            <w:pPr>
              <w:spacing w:after="0" w:line="276" w:lineRule="auto"/>
              <w:jc w:val="center"/>
              <w:rPr>
                <w:rFonts w:ascii="Times New Roman" w:hAnsi="Times New Roman" w:cs="Times New Roman"/>
                <w:sz w:val="24"/>
                <w:szCs w:val="24"/>
              </w:rPr>
            </w:pPr>
            <w:r w:rsidRPr="002A6EDB">
              <w:rPr>
                <w:rFonts w:ascii="Times New Roman" w:hAnsi="Times New Roman" w:cs="Times New Roman"/>
                <w:sz w:val="24"/>
                <w:szCs w:val="24"/>
              </w:rPr>
              <w:t>-</w:t>
            </w:r>
          </w:p>
        </w:tc>
      </w:tr>
    </w:tbl>
    <w:p w14:paraId="5F130FD7" w14:textId="77777777" w:rsidR="002A6EDB" w:rsidRPr="002A6EDB" w:rsidRDefault="002A6EDB" w:rsidP="002A6EDB">
      <w:pPr>
        <w:spacing w:after="0" w:line="276" w:lineRule="auto"/>
        <w:jc w:val="both"/>
        <w:rPr>
          <w:rFonts w:ascii="Times New Roman" w:hAnsi="Times New Roman" w:cs="Times New Roman"/>
          <w:sz w:val="24"/>
          <w:szCs w:val="24"/>
        </w:rPr>
      </w:pPr>
    </w:p>
    <w:p w14:paraId="7953A5C3" w14:textId="77777777" w:rsidR="002A6EDB" w:rsidRPr="002A6EDB" w:rsidRDefault="00391237" w:rsidP="002A6EDB">
      <w:pPr>
        <w:spacing w:after="0" w:line="276" w:lineRule="auto"/>
        <w:jc w:val="both"/>
        <w:rPr>
          <w:rFonts w:ascii="Times New Roman" w:hAnsi="Times New Roman" w:cs="Times New Roman"/>
          <w:sz w:val="24"/>
          <w:szCs w:val="24"/>
        </w:rPr>
      </w:pPr>
      <w:hyperlink r:id="rId31" w:anchor="ntc1-L_2021057BG.01006301-E0001" w:history="1">
        <w:r w:rsidR="002A6EDB" w:rsidRPr="002A6EDB">
          <w:rPr>
            <w:rFonts w:ascii="Times New Roman" w:hAnsi="Times New Roman" w:cs="Times New Roman"/>
            <w:color w:val="0000FF"/>
            <w:sz w:val="24"/>
            <w:szCs w:val="24"/>
            <w:u w:val="single"/>
          </w:rPr>
          <w:t>(</w:t>
        </w:r>
        <w:r w:rsidR="002A6EDB" w:rsidRPr="002A6EDB">
          <w:rPr>
            <w:rFonts w:ascii="Times New Roman" w:hAnsi="Times New Roman" w:cs="Times New Roman"/>
            <w:color w:val="0000FF"/>
            <w:sz w:val="24"/>
            <w:szCs w:val="24"/>
            <w:u w:val="single"/>
            <w:vertAlign w:val="superscript"/>
          </w:rPr>
          <w:t>1</w:t>
        </w:r>
        <w:r w:rsidR="002A6EDB" w:rsidRPr="002A6EDB">
          <w:rPr>
            <w:rFonts w:ascii="Times New Roman" w:hAnsi="Times New Roman" w:cs="Times New Roman"/>
            <w:color w:val="0000FF"/>
            <w:sz w:val="24"/>
            <w:szCs w:val="24"/>
            <w:u w:val="single"/>
          </w:rPr>
          <w:t>)</w:t>
        </w:r>
      </w:hyperlink>
      <w:r w:rsidR="002A6EDB" w:rsidRPr="002A6EDB">
        <w:rPr>
          <w:rFonts w:ascii="Times New Roman" w:hAnsi="Times New Roman" w:cs="Times New Roman"/>
          <w:sz w:val="24"/>
          <w:szCs w:val="24"/>
        </w:rPr>
        <w:t>  Големи предприятия са всички предприятия, различни от МСП, включително малки дружества със средна пазарна капитализация.</w:t>
      </w:r>
    </w:p>
    <w:p w14:paraId="190B10F2" w14:textId="77777777" w:rsidR="002A6EDB" w:rsidRPr="002A6EDB" w:rsidRDefault="00391237" w:rsidP="002A6EDB">
      <w:pPr>
        <w:spacing w:after="0" w:line="276" w:lineRule="auto"/>
        <w:jc w:val="both"/>
        <w:rPr>
          <w:rFonts w:ascii="Times New Roman" w:hAnsi="Times New Roman" w:cs="Times New Roman"/>
          <w:sz w:val="24"/>
          <w:szCs w:val="24"/>
        </w:rPr>
      </w:pPr>
      <w:hyperlink r:id="rId32" w:anchor="ntc2-L_2021057BG.01006301-E0002" w:history="1">
        <w:r w:rsidR="002A6EDB" w:rsidRPr="002A6EDB">
          <w:rPr>
            <w:rFonts w:ascii="Times New Roman" w:hAnsi="Times New Roman" w:cs="Times New Roman"/>
            <w:color w:val="0000FF"/>
            <w:sz w:val="24"/>
            <w:szCs w:val="24"/>
            <w:u w:val="single"/>
          </w:rPr>
          <w:t>(</w:t>
        </w:r>
        <w:r w:rsidR="002A6EDB" w:rsidRPr="002A6EDB">
          <w:rPr>
            <w:rFonts w:ascii="Times New Roman" w:hAnsi="Times New Roman" w:cs="Times New Roman"/>
            <w:color w:val="0000FF"/>
            <w:sz w:val="24"/>
            <w:szCs w:val="24"/>
            <w:u w:val="single"/>
            <w:vertAlign w:val="superscript"/>
          </w:rPr>
          <w:t>2</w:t>
        </w:r>
        <w:r w:rsidR="002A6EDB" w:rsidRPr="002A6EDB">
          <w:rPr>
            <w:rFonts w:ascii="Times New Roman" w:hAnsi="Times New Roman" w:cs="Times New Roman"/>
            <w:color w:val="0000FF"/>
            <w:sz w:val="24"/>
            <w:szCs w:val="24"/>
            <w:u w:val="single"/>
          </w:rPr>
          <w:t>)</w:t>
        </w:r>
      </w:hyperlink>
      <w:r w:rsidR="002A6EDB" w:rsidRPr="002A6EDB">
        <w:rPr>
          <w:rFonts w:ascii="Times New Roman" w:hAnsi="Times New Roman" w:cs="Times New Roman"/>
          <w:sz w:val="24"/>
          <w:szCs w:val="24"/>
        </w:rPr>
        <w:t>  Ако целта на мярката е дейността да трябва да обработва или събира данни, за да се даде възможност за намаляване на емисиите на парникови газове, което води до доказано значително намаление на тези емисии през целия жизнен цикъл. Ако целта на мярката изисква центровете за данни да спазват Кодекса на ЕС за енергийна ефективност в центровете за данни.</w:t>
      </w:r>
    </w:p>
    <w:p w14:paraId="5895C4FE" w14:textId="77777777" w:rsidR="002A6EDB" w:rsidRPr="002A6EDB" w:rsidRDefault="00391237" w:rsidP="002A6EDB">
      <w:pPr>
        <w:spacing w:after="0" w:line="276" w:lineRule="auto"/>
        <w:jc w:val="both"/>
        <w:rPr>
          <w:rFonts w:ascii="Times New Roman" w:hAnsi="Times New Roman" w:cs="Times New Roman"/>
          <w:sz w:val="24"/>
          <w:szCs w:val="24"/>
        </w:rPr>
      </w:pPr>
      <w:hyperlink r:id="rId33" w:anchor="ntc3-L_2021057BG.01006301-E0003" w:history="1">
        <w:r w:rsidR="002A6EDB" w:rsidRPr="002A6EDB">
          <w:rPr>
            <w:rFonts w:ascii="Times New Roman" w:hAnsi="Times New Roman" w:cs="Times New Roman"/>
            <w:color w:val="0000FF"/>
            <w:sz w:val="24"/>
            <w:szCs w:val="24"/>
            <w:u w:val="single"/>
          </w:rPr>
          <w:t>(</w:t>
        </w:r>
        <w:r w:rsidR="002A6EDB" w:rsidRPr="002A6EDB">
          <w:rPr>
            <w:rFonts w:ascii="Times New Roman" w:hAnsi="Times New Roman" w:cs="Times New Roman"/>
            <w:color w:val="0000FF"/>
            <w:sz w:val="24"/>
            <w:szCs w:val="24"/>
            <w:u w:val="single"/>
            <w:vertAlign w:val="superscript"/>
          </w:rPr>
          <w:t>3</w:t>
        </w:r>
        <w:r w:rsidR="002A6EDB" w:rsidRPr="002A6EDB">
          <w:rPr>
            <w:rFonts w:ascii="Times New Roman" w:hAnsi="Times New Roman" w:cs="Times New Roman"/>
            <w:color w:val="0000FF"/>
            <w:sz w:val="24"/>
            <w:szCs w:val="24"/>
            <w:u w:val="single"/>
          </w:rPr>
          <w:t>)</w:t>
        </w:r>
      </w:hyperlink>
      <w:r w:rsidR="002A6EDB" w:rsidRPr="002A6EDB">
        <w:rPr>
          <w:rFonts w:ascii="Times New Roman" w:hAnsi="Times New Roman" w:cs="Times New Roman"/>
          <w:sz w:val="24"/>
          <w:szCs w:val="24"/>
        </w:rPr>
        <w:t>  а) Ако целта на мярката е да се постигне, като средна стойност, поне средно равнище на саниране на дълбочина, както е определено в Препоръка (ЕС) 2019/786 на Комисията относно санирането на сгради, или б) ако целта на мерките е да се постигне средно поне 30% намаление на преките и непреките емисии на парникови газове в сравнение с предварителните емисии.</w:t>
      </w:r>
    </w:p>
    <w:p w14:paraId="04B31D24" w14:textId="77777777" w:rsidR="002A6EDB" w:rsidRPr="002A6EDB" w:rsidRDefault="00391237" w:rsidP="002A6EDB">
      <w:pPr>
        <w:spacing w:after="0" w:line="276" w:lineRule="auto"/>
        <w:jc w:val="both"/>
        <w:rPr>
          <w:rFonts w:ascii="Times New Roman" w:hAnsi="Times New Roman" w:cs="Times New Roman"/>
          <w:sz w:val="24"/>
          <w:szCs w:val="24"/>
        </w:rPr>
      </w:pPr>
      <w:hyperlink r:id="rId34" w:anchor="ntc4-L_2021057BG.01006301-E0004" w:history="1">
        <w:r w:rsidR="002A6EDB" w:rsidRPr="002A6EDB">
          <w:rPr>
            <w:rFonts w:ascii="Times New Roman" w:hAnsi="Times New Roman" w:cs="Times New Roman"/>
            <w:color w:val="0000FF"/>
            <w:sz w:val="24"/>
            <w:szCs w:val="24"/>
            <w:u w:val="single"/>
          </w:rPr>
          <w:t>(</w:t>
        </w:r>
        <w:r w:rsidR="002A6EDB" w:rsidRPr="002A6EDB">
          <w:rPr>
            <w:rFonts w:ascii="Times New Roman" w:hAnsi="Times New Roman" w:cs="Times New Roman"/>
            <w:color w:val="0000FF"/>
            <w:sz w:val="24"/>
            <w:szCs w:val="24"/>
            <w:u w:val="single"/>
            <w:vertAlign w:val="superscript"/>
          </w:rPr>
          <w:t>4</w:t>
        </w:r>
        <w:r w:rsidR="002A6EDB" w:rsidRPr="002A6EDB">
          <w:rPr>
            <w:rFonts w:ascii="Times New Roman" w:hAnsi="Times New Roman" w:cs="Times New Roman"/>
            <w:color w:val="0000FF"/>
            <w:sz w:val="24"/>
            <w:szCs w:val="24"/>
            <w:u w:val="single"/>
          </w:rPr>
          <w:t>)</w:t>
        </w:r>
      </w:hyperlink>
      <w:r w:rsidR="002A6EDB" w:rsidRPr="002A6EDB">
        <w:rPr>
          <w:rFonts w:ascii="Times New Roman" w:hAnsi="Times New Roman" w:cs="Times New Roman"/>
          <w:sz w:val="24"/>
          <w:szCs w:val="24"/>
        </w:rPr>
        <w:t>  Ако целта на мярката е да се постигне, като средна стойност, поне средно равнище на саниране на дълбочина, както е определено в Препоръка (ЕС) 2019/786 на Комисията относно санирането на сгради. Санирането на сгради също така има за цел да включи инфраструктурата в смисъла на области на намеса 85—92.</w:t>
      </w:r>
    </w:p>
    <w:p w14:paraId="6671B1E3" w14:textId="77777777" w:rsidR="002A6EDB" w:rsidRPr="002A6EDB" w:rsidRDefault="00391237" w:rsidP="002A6EDB">
      <w:pPr>
        <w:spacing w:after="0" w:line="276" w:lineRule="auto"/>
        <w:jc w:val="both"/>
        <w:rPr>
          <w:rFonts w:ascii="Times New Roman" w:hAnsi="Times New Roman" w:cs="Times New Roman"/>
          <w:sz w:val="24"/>
          <w:szCs w:val="24"/>
        </w:rPr>
      </w:pPr>
      <w:hyperlink r:id="rId35" w:anchor="ntc5-L_2021057BG.01006301-E0005" w:history="1">
        <w:r w:rsidR="002A6EDB" w:rsidRPr="002A6EDB">
          <w:rPr>
            <w:rFonts w:ascii="Times New Roman" w:hAnsi="Times New Roman" w:cs="Times New Roman"/>
            <w:color w:val="0000FF"/>
            <w:sz w:val="24"/>
            <w:szCs w:val="24"/>
            <w:u w:val="single"/>
          </w:rPr>
          <w:t>(</w:t>
        </w:r>
        <w:r w:rsidR="002A6EDB" w:rsidRPr="002A6EDB">
          <w:rPr>
            <w:rFonts w:ascii="Times New Roman" w:hAnsi="Times New Roman" w:cs="Times New Roman"/>
            <w:color w:val="0000FF"/>
            <w:sz w:val="24"/>
            <w:szCs w:val="24"/>
            <w:u w:val="single"/>
            <w:vertAlign w:val="superscript"/>
          </w:rPr>
          <w:t>5</w:t>
        </w:r>
        <w:r w:rsidR="002A6EDB" w:rsidRPr="002A6EDB">
          <w:rPr>
            <w:rFonts w:ascii="Times New Roman" w:hAnsi="Times New Roman" w:cs="Times New Roman"/>
            <w:color w:val="0000FF"/>
            <w:sz w:val="24"/>
            <w:szCs w:val="24"/>
            <w:u w:val="single"/>
          </w:rPr>
          <w:t>)</w:t>
        </w:r>
      </w:hyperlink>
      <w:r w:rsidR="002A6EDB" w:rsidRPr="002A6EDB">
        <w:rPr>
          <w:rFonts w:ascii="Times New Roman" w:hAnsi="Times New Roman" w:cs="Times New Roman"/>
          <w:sz w:val="24"/>
          <w:szCs w:val="24"/>
        </w:rPr>
        <w:t xml:space="preserve">  Ако целта на мерките се отнася до изграждането на нови сгради с първично енергийно търсене (PED), което е с поне 20% по-ниско от изискването за СБННПЕ (сгради с близко до нулево нетно потребление на енергия, национални директиви). Изграждането на нови </w:t>
      </w:r>
      <w:r w:rsidR="002A6EDB" w:rsidRPr="002A6EDB">
        <w:rPr>
          <w:rFonts w:ascii="Times New Roman" w:hAnsi="Times New Roman" w:cs="Times New Roman"/>
          <w:sz w:val="24"/>
          <w:szCs w:val="24"/>
        </w:rPr>
        <w:lastRenderedPageBreak/>
        <w:t>енергийно ефективни сгради също така има за цел да включи инфраструктурата в смисъла на области на намеса 85—92.</w:t>
      </w:r>
    </w:p>
    <w:p w14:paraId="32C23A11" w14:textId="77777777" w:rsidR="002A6EDB" w:rsidRPr="002A6EDB" w:rsidRDefault="00391237" w:rsidP="002A6EDB">
      <w:pPr>
        <w:spacing w:after="0" w:line="276" w:lineRule="auto"/>
        <w:jc w:val="both"/>
        <w:rPr>
          <w:rFonts w:ascii="Times New Roman" w:hAnsi="Times New Roman" w:cs="Times New Roman"/>
          <w:sz w:val="24"/>
          <w:szCs w:val="24"/>
        </w:rPr>
      </w:pPr>
      <w:hyperlink r:id="rId36" w:anchor="ntc6-L_2021057BG.01006301-E0006" w:history="1">
        <w:r w:rsidR="002A6EDB" w:rsidRPr="002A6EDB">
          <w:rPr>
            <w:rFonts w:ascii="Times New Roman" w:hAnsi="Times New Roman" w:cs="Times New Roman"/>
            <w:color w:val="0000FF"/>
            <w:sz w:val="24"/>
            <w:szCs w:val="24"/>
            <w:u w:val="single"/>
          </w:rPr>
          <w:t>(</w:t>
        </w:r>
        <w:r w:rsidR="002A6EDB" w:rsidRPr="002A6EDB">
          <w:rPr>
            <w:rFonts w:ascii="Times New Roman" w:hAnsi="Times New Roman" w:cs="Times New Roman"/>
            <w:color w:val="0000FF"/>
            <w:sz w:val="24"/>
            <w:szCs w:val="24"/>
            <w:u w:val="single"/>
            <w:vertAlign w:val="superscript"/>
          </w:rPr>
          <w:t>6</w:t>
        </w:r>
        <w:r w:rsidR="002A6EDB" w:rsidRPr="002A6EDB">
          <w:rPr>
            <w:rFonts w:ascii="Times New Roman" w:hAnsi="Times New Roman" w:cs="Times New Roman"/>
            <w:color w:val="0000FF"/>
            <w:sz w:val="24"/>
            <w:szCs w:val="24"/>
            <w:u w:val="single"/>
          </w:rPr>
          <w:t>)</w:t>
        </w:r>
      </w:hyperlink>
      <w:r w:rsidR="002A6EDB" w:rsidRPr="002A6EDB">
        <w:rPr>
          <w:rFonts w:ascii="Times New Roman" w:hAnsi="Times New Roman" w:cs="Times New Roman"/>
          <w:sz w:val="24"/>
          <w:szCs w:val="24"/>
        </w:rPr>
        <w:t>  Ако целта на мярката е а) да се постигне, като средна стойност, поне средно равнище на саниране на дълбочина, както е определено в Препоръка (ЕС) 2019/786 на Комисията относно санирането на сгради, или б) да се постигне средно поне 30% намаление на преките и непреките емисии на парникови газове в сравнение с предварителните емисии. Санирането на сгради също така има за цел да включи инфраструктурата в смисъла на области на намеса 85—92.</w:t>
      </w:r>
    </w:p>
    <w:p w14:paraId="603A6787" w14:textId="77777777" w:rsidR="002A6EDB" w:rsidRPr="002A6EDB" w:rsidRDefault="00391237" w:rsidP="002A6EDB">
      <w:pPr>
        <w:spacing w:after="0" w:line="276" w:lineRule="auto"/>
        <w:jc w:val="both"/>
        <w:rPr>
          <w:rFonts w:ascii="Times New Roman" w:hAnsi="Times New Roman" w:cs="Times New Roman"/>
          <w:sz w:val="24"/>
          <w:szCs w:val="24"/>
        </w:rPr>
      </w:pPr>
      <w:hyperlink r:id="rId37" w:anchor="ntc7-L_2021057BG.01006301-E0007" w:history="1">
        <w:r w:rsidR="002A6EDB" w:rsidRPr="002A6EDB">
          <w:rPr>
            <w:rFonts w:ascii="Times New Roman" w:hAnsi="Times New Roman" w:cs="Times New Roman"/>
            <w:color w:val="0000FF"/>
            <w:sz w:val="24"/>
            <w:szCs w:val="24"/>
            <w:u w:val="single"/>
          </w:rPr>
          <w:t>(</w:t>
        </w:r>
        <w:r w:rsidR="002A6EDB" w:rsidRPr="002A6EDB">
          <w:rPr>
            <w:rFonts w:ascii="Times New Roman" w:hAnsi="Times New Roman" w:cs="Times New Roman"/>
            <w:color w:val="0000FF"/>
            <w:sz w:val="24"/>
            <w:szCs w:val="24"/>
            <w:u w:val="single"/>
            <w:vertAlign w:val="superscript"/>
          </w:rPr>
          <w:t>7</w:t>
        </w:r>
        <w:r w:rsidR="002A6EDB" w:rsidRPr="002A6EDB">
          <w:rPr>
            <w:rFonts w:ascii="Times New Roman" w:hAnsi="Times New Roman" w:cs="Times New Roman"/>
            <w:color w:val="0000FF"/>
            <w:sz w:val="24"/>
            <w:szCs w:val="24"/>
            <w:u w:val="single"/>
          </w:rPr>
          <w:t>)</w:t>
        </w:r>
      </w:hyperlink>
      <w:r w:rsidR="002A6EDB" w:rsidRPr="002A6EDB">
        <w:rPr>
          <w:rFonts w:ascii="Times New Roman" w:hAnsi="Times New Roman" w:cs="Times New Roman"/>
          <w:sz w:val="24"/>
          <w:szCs w:val="24"/>
        </w:rPr>
        <w:t>  Ако целта на мярката е свързана с производството на електроенергия или топлинна енергия от биомаса, в съответствие с Директива (ЕС) 2018/2001 на Европейския парламент и на Съвета от 11 декември 2018 г. за насърчаване използването на енергия от възобновяеми източници (</w:t>
      </w:r>
      <w:hyperlink r:id="rId38" w:history="1">
        <w:r w:rsidR="002A6EDB" w:rsidRPr="002A6EDB">
          <w:rPr>
            <w:rFonts w:ascii="Times New Roman" w:hAnsi="Times New Roman" w:cs="Times New Roman"/>
            <w:color w:val="0000FF"/>
            <w:sz w:val="24"/>
            <w:szCs w:val="24"/>
            <w:u w:val="single"/>
          </w:rPr>
          <w:t>OB L 328, 21.12.2018 г., стр. 82</w:t>
        </w:r>
      </w:hyperlink>
      <w:r w:rsidR="002A6EDB" w:rsidRPr="002A6EDB">
        <w:rPr>
          <w:rFonts w:ascii="Times New Roman" w:hAnsi="Times New Roman" w:cs="Times New Roman"/>
          <w:sz w:val="24"/>
          <w:szCs w:val="24"/>
        </w:rPr>
        <w:t>).</w:t>
      </w:r>
    </w:p>
    <w:p w14:paraId="3BA29F94" w14:textId="77777777" w:rsidR="002A6EDB" w:rsidRPr="002A6EDB" w:rsidRDefault="00391237" w:rsidP="002A6EDB">
      <w:pPr>
        <w:spacing w:after="0" w:line="276" w:lineRule="auto"/>
        <w:jc w:val="both"/>
        <w:rPr>
          <w:rFonts w:ascii="Times New Roman" w:hAnsi="Times New Roman" w:cs="Times New Roman"/>
          <w:sz w:val="24"/>
          <w:szCs w:val="24"/>
        </w:rPr>
      </w:pPr>
      <w:hyperlink r:id="rId39" w:anchor="ntc8-L_2021057BG.01006301-E0008" w:history="1">
        <w:r w:rsidR="002A6EDB" w:rsidRPr="002A6EDB">
          <w:rPr>
            <w:rFonts w:ascii="Times New Roman" w:hAnsi="Times New Roman" w:cs="Times New Roman"/>
            <w:color w:val="0000FF"/>
            <w:sz w:val="24"/>
            <w:szCs w:val="24"/>
            <w:u w:val="single"/>
          </w:rPr>
          <w:t>(</w:t>
        </w:r>
        <w:r w:rsidR="002A6EDB" w:rsidRPr="002A6EDB">
          <w:rPr>
            <w:rFonts w:ascii="Times New Roman" w:hAnsi="Times New Roman" w:cs="Times New Roman"/>
            <w:color w:val="0000FF"/>
            <w:sz w:val="24"/>
            <w:szCs w:val="24"/>
            <w:u w:val="single"/>
            <w:vertAlign w:val="superscript"/>
          </w:rPr>
          <w:t>8</w:t>
        </w:r>
        <w:r w:rsidR="002A6EDB" w:rsidRPr="002A6EDB">
          <w:rPr>
            <w:rFonts w:ascii="Times New Roman" w:hAnsi="Times New Roman" w:cs="Times New Roman"/>
            <w:color w:val="0000FF"/>
            <w:sz w:val="24"/>
            <w:szCs w:val="24"/>
            <w:u w:val="single"/>
          </w:rPr>
          <w:t>)</w:t>
        </w:r>
      </w:hyperlink>
      <w:r w:rsidR="002A6EDB" w:rsidRPr="002A6EDB">
        <w:rPr>
          <w:rFonts w:ascii="Times New Roman" w:hAnsi="Times New Roman" w:cs="Times New Roman"/>
          <w:sz w:val="24"/>
          <w:szCs w:val="24"/>
        </w:rPr>
        <w:t xml:space="preserve">  Ако целта на мярката е свързана с производството на електроенергия или топлинна енергия от биомаса, в съответствие с Директива (ЕС) 2018/2001; и ако целта на мярката е да се постигне поне 80% намаление на емисиите на парникови газове в съоръжението от използването на биомаса във връзка с методиката за намаляване на емисиите на парникови газове и относителното сравнение с изкопаемите горива, посочени в приложение VI към Директива (ЕС) 2018/2001. Ако целта на мярката е свързана с производството на </w:t>
      </w:r>
      <w:proofErr w:type="spellStart"/>
      <w:r w:rsidR="002A6EDB" w:rsidRPr="002A6EDB">
        <w:rPr>
          <w:rFonts w:ascii="Times New Roman" w:hAnsi="Times New Roman" w:cs="Times New Roman"/>
          <w:sz w:val="24"/>
          <w:szCs w:val="24"/>
        </w:rPr>
        <w:t>биогорива</w:t>
      </w:r>
      <w:proofErr w:type="spellEnd"/>
      <w:r w:rsidR="002A6EDB" w:rsidRPr="002A6EDB">
        <w:rPr>
          <w:rFonts w:ascii="Times New Roman" w:hAnsi="Times New Roman" w:cs="Times New Roman"/>
          <w:sz w:val="24"/>
          <w:szCs w:val="24"/>
        </w:rPr>
        <w:t xml:space="preserve"> от биомаса (с изключение на хранителни и фуражни култури), в съответствие с Директива (ЕС) 2018/2001; и ако целта на мярката е да се постигне поне 65% намаление на емисиите на парникови газове в съоръжението от използването на биомаса във връзка с методиката за намаляване на емисиите на парникови газове и относителното сравнение с изкопаемите горива, посочени в приложение V към Директива (ЕС) 2018/2001.</w:t>
      </w:r>
    </w:p>
    <w:p w14:paraId="68D0BC11" w14:textId="77777777" w:rsidR="002A6EDB" w:rsidRPr="002A6EDB" w:rsidRDefault="00391237" w:rsidP="002A6EDB">
      <w:pPr>
        <w:spacing w:after="0" w:line="276" w:lineRule="auto"/>
        <w:jc w:val="both"/>
        <w:rPr>
          <w:rFonts w:ascii="Times New Roman" w:hAnsi="Times New Roman" w:cs="Times New Roman"/>
          <w:sz w:val="24"/>
          <w:szCs w:val="24"/>
        </w:rPr>
      </w:pPr>
      <w:hyperlink r:id="rId40" w:anchor="ntc9-L_2021057BG.01006301-E0009" w:history="1">
        <w:r w:rsidR="002A6EDB" w:rsidRPr="002A6EDB">
          <w:rPr>
            <w:rFonts w:ascii="Times New Roman" w:hAnsi="Times New Roman" w:cs="Times New Roman"/>
            <w:color w:val="0000FF"/>
            <w:sz w:val="24"/>
            <w:szCs w:val="24"/>
            <w:u w:val="single"/>
          </w:rPr>
          <w:t>(</w:t>
        </w:r>
        <w:r w:rsidR="002A6EDB" w:rsidRPr="002A6EDB">
          <w:rPr>
            <w:rFonts w:ascii="Times New Roman" w:hAnsi="Times New Roman" w:cs="Times New Roman"/>
            <w:color w:val="0000FF"/>
            <w:sz w:val="24"/>
            <w:szCs w:val="24"/>
            <w:u w:val="single"/>
            <w:vertAlign w:val="superscript"/>
          </w:rPr>
          <w:t>9</w:t>
        </w:r>
        <w:r w:rsidR="002A6EDB" w:rsidRPr="002A6EDB">
          <w:rPr>
            <w:rFonts w:ascii="Times New Roman" w:hAnsi="Times New Roman" w:cs="Times New Roman"/>
            <w:color w:val="0000FF"/>
            <w:sz w:val="24"/>
            <w:szCs w:val="24"/>
            <w:u w:val="single"/>
          </w:rPr>
          <w:t>)</w:t>
        </w:r>
      </w:hyperlink>
      <w:r w:rsidR="002A6EDB" w:rsidRPr="002A6EDB">
        <w:rPr>
          <w:rFonts w:ascii="Times New Roman" w:hAnsi="Times New Roman" w:cs="Times New Roman"/>
          <w:sz w:val="24"/>
          <w:szCs w:val="24"/>
        </w:rPr>
        <w:t>  При високоефективно комбинирано производство на енергия, ако целта на мярката е да се постигнат емисии през целия жизнен цикъл, които са по-ниски от 100 gCO2e/</w:t>
      </w:r>
      <w:proofErr w:type="spellStart"/>
      <w:r w:rsidR="002A6EDB" w:rsidRPr="002A6EDB">
        <w:rPr>
          <w:rFonts w:ascii="Times New Roman" w:hAnsi="Times New Roman" w:cs="Times New Roman"/>
          <w:sz w:val="24"/>
          <w:szCs w:val="24"/>
        </w:rPr>
        <w:t>kWh</w:t>
      </w:r>
      <w:proofErr w:type="spellEnd"/>
      <w:r w:rsidR="002A6EDB" w:rsidRPr="002A6EDB">
        <w:rPr>
          <w:rFonts w:ascii="Times New Roman" w:hAnsi="Times New Roman" w:cs="Times New Roman"/>
          <w:sz w:val="24"/>
          <w:szCs w:val="24"/>
        </w:rPr>
        <w:t>, или топлинна/охладителна енергия, произведена от отпадна топлина. При топлофикационни/охладителни системи, ако съответната инфраструктура следва Директива 2012/27/ЕС на Европейския парламент и на Съвета от 25 октомври 2012 г. относно енергийната ефективност, за изменение на директиви 2009/125/ЕО и 2010/30/ЕС и за отмяна на директиви 2004/8/ЕО и 2006/32/ЕО текст от значение за ЕИП (</w:t>
      </w:r>
      <w:hyperlink r:id="rId41" w:history="1">
        <w:r w:rsidR="002A6EDB" w:rsidRPr="002A6EDB">
          <w:rPr>
            <w:rFonts w:ascii="Times New Roman" w:hAnsi="Times New Roman" w:cs="Times New Roman"/>
            <w:color w:val="0000FF"/>
            <w:sz w:val="24"/>
            <w:szCs w:val="24"/>
            <w:u w:val="single"/>
          </w:rPr>
          <w:t>OB L 315, 14.11.2012 г., стр. 1</w:t>
        </w:r>
      </w:hyperlink>
      <w:r w:rsidR="002A6EDB" w:rsidRPr="002A6EDB">
        <w:rPr>
          <w:rFonts w:ascii="Times New Roman" w:hAnsi="Times New Roman" w:cs="Times New Roman"/>
          <w:sz w:val="24"/>
          <w:szCs w:val="24"/>
        </w:rPr>
        <w:t>)или ако съществуващата инфраструктура е обновена, за да отговаря на определението за ефективни районни отоплителни и охладителни системи, или ако проектът е усъвършенствана пилотна система (системи за контрол и енергийно управление, интернет на нещата) или води до по-нисък температурен режим в централната отоплителна и охладителна система.</w:t>
      </w:r>
    </w:p>
    <w:p w14:paraId="2ACBC712" w14:textId="77777777" w:rsidR="002A6EDB" w:rsidRPr="002A6EDB" w:rsidRDefault="00391237" w:rsidP="002A6EDB">
      <w:pPr>
        <w:spacing w:after="0" w:line="276" w:lineRule="auto"/>
        <w:jc w:val="both"/>
        <w:rPr>
          <w:rFonts w:ascii="Times New Roman" w:hAnsi="Times New Roman" w:cs="Times New Roman"/>
          <w:sz w:val="24"/>
          <w:szCs w:val="24"/>
        </w:rPr>
      </w:pPr>
      <w:hyperlink r:id="rId42" w:anchor="ntc10-L_2021057BG.01006301-E0010" w:history="1">
        <w:r w:rsidR="002A6EDB" w:rsidRPr="002A6EDB">
          <w:rPr>
            <w:rFonts w:ascii="Times New Roman" w:hAnsi="Times New Roman" w:cs="Times New Roman"/>
            <w:color w:val="0000FF"/>
            <w:sz w:val="24"/>
            <w:szCs w:val="24"/>
            <w:u w:val="single"/>
          </w:rPr>
          <w:t>(</w:t>
        </w:r>
        <w:r w:rsidR="002A6EDB" w:rsidRPr="002A6EDB">
          <w:rPr>
            <w:rFonts w:ascii="Times New Roman" w:hAnsi="Times New Roman" w:cs="Times New Roman"/>
            <w:color w:val="0000FF"/>
            <w:sz w:val="24"/>
            <w:szCs w:val="24"/>
            <w:u w:val="single"/>
            <w:vertAlign w:val="superscript"/>
          </w:rPr>
          <w:t>10</w:t>
        </w:r>
        <w:r w:rsidR="002A6EDB" w:rsidRPr="002A6EDB">
          <w:rPr>
            <w:rFonts w:ascii="Times New Roman" w:hAnsi="Times New Roman" w:cs="Times New Roman"/>
            <w:color w:val="0000FF"/>
            <w:sz w:val="24"/>
            <w:szCs w:val="24"/>
            <w:u w:val="single"/>
          </w:rPr>
          <w:t>)</w:t>
        </w:r>
      </w:hyperlink>
      <w:r w:rsidR="002A6EDB" w:rsidRPr="002A6EDB">
        <w:rPr>
          <w:rFonts w:ascii="Times New Roman" w:hAnsi="Times New Roman" w:cs="Times New Roman"/>
          <w:sz w:val="24"/>
          <w:szCs w:val="24"/>
        </w:rPr>
        <w:t xml:space="preserve">  Ако целта на мярката е изградената система да има средно потребление на енергия &lt; = 0,5 </w:t>
      </w:r>
      <w:proofErr w:type="spellStart"/>
      <w:r w:rsidR="002A6EDB" w:rsidRPr="002A6EDB">
        <w:rPr>
          <w:rFonts w:ascii="Times New Roman" w:hAnsi="Times New Roman" w:cs="Times New Roman"/>
          <w:sz w:val="24"/>
          <w:szCs w:val="24"/>
        </w:rPr>
        <w:t>kWh</w:t>
      </w:r>
      <w:proofErr w:type="spellEnd"/>
      <w:r w:rsidR="002A6EDB" w:rsidRPr="002A6EDB">
        <w:rPr>
          <w:rFonts w:ascii="Times New Roman" w:hAnsi="Times New Roman" w:cs="Times New Roman"/>
          <w:sz w:val="24"/>
          <w:szCs w:val="24"/>
        </w:rPr>
        <w:t xml:space="preserve"> или индекс на пропускане на инфраструктура (ILI) &lt; = 1.5, а дейността по саниране да намали средното потребление на енергия с повече от 20% или да намали течовете с повече от 20%.</w:t>
      </w:r>
    </w:p>
    <w:p w14:paraId="66A0D0C8" w14:textId="77777777" w:rsidR="002A6EDB" w:rsidRPr="002A6EDB" w:rsidRDefault="00391237" w:rsidP="002A6EDB">
      <w:pPr>
        <w:spacing w:after="0" w:line="276" w:lineRule="auto"/>
        <w:jc w:val="both"/>
        <w:rPr>
          <w:rFonts w:ascii="Times New Roman" w:hAnsi="Times New Roman" w:cs="Times New Roman"/>
          <w:sz w:val="24"/>
          <w:szCs w:val="24"/>
        </w:rPr>
      </w:pPr>
      <w:hyperlink r:id="rId43" w:anchor="ntc11-L_2021057BG.01006301-E0011" w:history="1">
        <w:r w:rsidR="002A6EDB" w:rsidRPr="002A6EDB">
          <w:rPr>
            <w:rFonts w:ascii="Times New Roman" w:hAnsi="Times New Roman" w:cs="Times New Roman"/>
            <w:color w:val="0000FF"/>
            <w:sz w:val="24"/>
            <w:szCs w:val="24"/>
            <w:u w:val="single"/>
          </w:rPr>
          <w:t>(</w:t>
        </w:r>
        <w:r w:rsidR="002A6EDB" w:rsidRPr="002A6EDB">
          <w:rPr>
            <w:rFonts w:ascii="Times New Roman" w:hAnsi="Times New Roman" w:cs="Times New Roman"/>
            <w:color w:val="0000FF"/>
            <w:sz w:val="24"/>
            <w:szCs w:val="24"/>
            <w:u w:val="single"/>
            <w:vertAlign w:val="superscript"/>
          </w:rPr>
          <w:t>11</w:t>
        </w:r>
        <w:r w:rsidR="002A6EDB" w:rsidRPr="002A6EDB">
          <w:rPr>
            <w:rFonts w:ascii="Times New Roman" w:hAnsi="Times New Roman" w:cs="Times New Roman"/>
            <w:color w:val="0000FF"/>
            <w:sz w:val="24"/>
            <w:szCs w:val="24"/>
            <w:u w:val="single"/>
          </w:rPr>
          <w:t>)</w:t>
        </w:r>
      </w:hyperlink>
      <w:r w:rsidR="002A6EDB" w:rsidRPr="002A6EDB">
        <w:rPr>
          <w:rFonts w:ascii="Times New Roman" w:hAnsi="Times New Roman" w:cs="Times New Roman"/>
          <w:sz w:val="24"/>
          <w:szCs w:val="24"/>
        </w:rPr>
        <w:t>  Ако целта на мярката за изградената система за отпадъчни води е да има отначало докрай нетно нулево потребление на енергия или обновяването на системата за отпадъчни води да доведе отначало докрай до намаляване на средното потребление на енергия с поне 10% (единствено чрез мерки за енергийна ефективност, а не чрез материални промени или промени в натоварването).</w:t>
      </w:r>
    </w:p>
    <w:p w14:paraId="4276814A" w14:textId="77777777" w:rsidR="002A6EDB" w:rsidRPr="002A6EDB" w:rsidRDefault="00391237" w:rsidP="002A6EDB">
      <w:pPr>
        <w:spacing w:after="0" w:line="276" w:lineRule="auto"/>
        <w:jc w:val="both"/>
        <w:rPr>
          <w:rFonts w:ascii="Times New Roman" w:hAnsi="Times New Roman" w:cs="Times New Roman"/>
          <w:sz w:val="24"/>
          <w:szCs w:val="24"/>
        </w:rPr>
      </w:pPr>
      <w:hyperlink r:id="rId44" w:anchor="ntc12-L_2021057BG.01006301-E0012" w:history="1">
        <w:r w:rsidR="002A6EDB" w:rsidRPr="002A6EDB">
          <w:rPr>
            <w:rFonts w:ascii="Times New Roman" w:hAnsi="Times New Roman" w:cs="Times New Roman"/>
            <w:color w:val="0000FF"/>
            <w:sz w:val="24"/>
            <w:szCs w:val="24"/>
            <w:u w:val="single"/>
          </w:rPr>
          <w:t>(</w:t>
        </w:r>
        <w:r w:rsidR="002A6EDB" w:rsidRPr="002A6EDB">
          <w:rPr>
            <w:rFonts w:ascii="Times New Roman" w:hAnsi="Times New Roman" w:cs="Times New Roman"/>
            <w:color w:val="0000FF"/>
            <w:sz w:val="24"/>
            <w:szCs w:val="24"/>
            <w:u w:val="single"/>
            <w:vertAlign w:val="superscript"/>
          </w:rPr>
          <w:t>12</w:t>
        </w:r>
        <w:r w:rsidR="002A6EDB" w:rsidRPr="002A6EDB">
          <w:rPr>
            <w:rFonts w:ascii="Times New Roman" w:hAnsi="Times New Roman" w:cs="Times New Roman"/>
            <w:color w:val="0000FF"/>
            <w:sz w:val="24"/>
            <w:szCs w:val="24"/>
            <w:u w:val="single"/>
          </w:rPr>
          <w:t>)</w:t>
        </w:r>
      </w:hyperlink>
      <w:r w:rsidR="002A6EDB" w:rsidRPr="002A6EDB">
        <w:rPr>
          <w:rFonts w:ascii="Times New Roman" w:hAnsi="Times New Roman" w:cs="Times New Roman"/>
          <w:sz w:val="24"/>
          <w:szCs w:val="24"/>
        </w:rPr>
        <w:t>  Ако целта на мярката е поне 50% от теглото на обработените разделно събрани неопасни отпадъци да се преобразуват във вторични суровини.</w:t>
      </w:r>
    </w:p>
    <w:p w14:paraId="574ADEA8" w14:textId="77777777" w:rsidR="002A6EDB" w:rsidRPr="002A6EDB" w:rsidRDefault="00391237" w:rsidP="002A6EDB">
      <w:pPr>
        <w:spacing w:after="0" w:line="276" w:lineRule="auto"/>
        <w:jc w:val="both"/>
        <w:rPr>
          <w:rFonts w:ascii="Times New Roman" w:hAnsi="Times New Roman" w:cs="Times New Roman"/>
          <w:sz w:val="24"/>
          <w:szCs w:val="24"/>
        </w:rPr>
      </w:pPr>
      <w:hyperlink r:id="rId45" w:anchor="ntc13-L_2021057BG.01006301-E0013" w:history="1">
        <w:r w:rsidR="002A6EDB" w:rsidRPr="002A6EDB">
          <w:rPr>
            <w:rFonts w:ascii="Times New Roman" w:hAnsi="Times New Roman" w:cs="Times New Roman"/>
            <w:color w:val="0000FF"/>
            <w:sz w:val="24"/>
            <w:szCs w:val="24"/>
            <w:u w:val="single"/>
          </w:rPr>
          <w:t>(</w:t>
        </w:r>
        <w:r w:rsidR="002A6EDB" w:rsidRPr="002A6EDB">
          <w:rPr>
            <w:rFonts w:ascii="Times New Roman" w:hAnsi="Times New Roman" w:cs="Times New Roman"/>
            <w:color w:val="0000FF"/>
            <w:sz w:val="24"/>
            <w:szCs w:val="24"/>
            <w:u w:val="single"/>
            <w:vertAlign w:val="superscript"/>
          </w:rPr>
          <w:t>13</w:t>
        </w:r>
        <w:r w:rsidR="002A6EDB" w:rsidRPr="002A6EDB">
          <w:rPr>
            <w:rFonts w:ascii="Times New Roman" w:hAnsi="Times New Roman" w:cs="Times New Roman"/>
            <w:color w:val="0000FF"/>
            <w:sz w:val="24"/>
            <w:szCs w:val="24"/>
            <w:u w:val="single"/>
          </w:rPr>
          <w:t>)</w:t>
        </w:r>
      </w:hyperlink>
      <w:r w:rsidR="002A6EDB" w:rsidRPr="002A6EDB">
        <w:rPr>
          <w:rFonts w:ascii="Times New Roman" w:hAnsi="Times New Roman" w:cs="Times New Roman"/>
          <w:sz w:val="24"/>
          <w:szCs w:val="24"/>
        </w:rPr>
        <w:t xml:space="preserve">  Ако целта на мярката е промишлените обекти и замърсената земя да се превърнат в естествен въглероден </w:t>
      </w:r>
      <w:proofErr w:type="spellStart"/>
      <w:r w:rsidR="002A6EDB" w:rsidRPr="002A6EDB">
        <w:rPr>
          <w:rFonts w:ascii="Times New Roman" w:hAnsi="Times New Roman" w:cs="Times New Roman"/>
          <w:sz w:val="24"/>
          <w:szCs w:val="24"/>
        </w:rPr>
        <w:t>поглътител</w:t>
      </w:r>
      <w:proofErr w:type="spellEnd"/>
      <w:r w:rsidR="002A6EDB" w:rsidRPr="002A6EDB">
        <w:rPr>
          <w:rFonts w:ascii="Times New Roman" w:hAnsi="Times New Roman" w:cs="Times New Roman"/>
          <w:sz w:val="24"/>
          <w:szCs w:val="24"/>
        </w:rPr>
        <w:t>.</w:t>
      </w:r>
    </w:p>
    <w:p w14:paraId="6E4CA6A6" w14:textId="77777777" w:rsidR="002A6EDB" w:rsidRPr="002A6EDB" w:rsidRDefault="00391237" w:rsidP="002A6EDB">
      <w:pPr>
        <w:spacing w:after="0" w:line="276" w:lineRule="auto"/>
        <w:jc w:val="both"/>
        <w:rPr>
          <w:rFonts w:ascii="Times New Roman" w:hAnsi="Times New Roman" w:cs="Times New Roman"/>
          <w:sz w:val="24"/>
          <w:szCs w:val="24"/>
        </w:rPr>
      </w:pPr>
      <w:hyperlink r:id="rId46" w:anchor="ntc14-L_2021057BG.01006301-E0014" w:history="1">
        <w:r w:rsidR="002A6EDB" w:rsidRPr="002A6EDB">
          <w:rPr>
            <w:rFonts w:ascii="Times New Roman" w:hAnsi="Times New Roman" w:cs="Times New Roman"/>
            <w:color w:val="0000FF"/>
            <w:sz w:val="24"/>
            <w:szCs w:val="24"/>
            <w:u w:val="single"/>
          </w:rPr>
          <w:t>(</w:t>
        </w:r>
        <w:r w:rsidR="002A6EDB" w:rsidRPr="002A6EDB">
          <w:rPr>
            <w:rFonts w:ascii="Times New Roman" w:hAnsi="Times New Roman" w:cs="Times New Roman"/>
            <w:color w:val="0000FF"/>
            <w:sz w:val="24"/>
            <w:szCs w:val="24"/>
            <w:u w:val="single"/>
            <w:vertAlign w:val="superscript"/>
          </w:rPr>
          <w:t>14</w:t>
        </w:r>
        <w:r w:rsidR="002A6EDB" w:rsidRPr="002A6EDB">
          <w:rPr>
            <w:rFonts w:ascii="Times New Roman" w:hAnsi="Times New Roman" w:cs="Times New Roman"/>
            <w:color w:val="0000FF"/>
            <w:sz w:val="24"/>
            <w:szCs w:val="24"/>
            <w:u w:val="single"/>
          </w:rPr>
          <w:t>)</w:t>
        </w:r>
      </w:hyperlink>
      <w:r w:rsidR="002A6EDB" w:rsidRPr="002A6EDB">
        <w:rPr>
          <w:rFonts w:ascii="Times New Roman" w:hAnsi="Times New Roman" w:cs="Times New Roman"/>
          <w:sz w:val="24"/>
          <w:szCs w:val="24"/>
        </w:rPr>
        <w:t>  За области на намеса 56 – 62: области на намеса 73, 74 и 77 могат да се използват за елементи от мерките, свързани с интервенции в алтернативни горива, включително зареждане с електрически превозни средства, или обществен транспорт.</w:t>
      </w:r>
    </w:p>
    <w:p w14:paraId="0DA2236C" w14:textId="77777777" w:rsidR="002A6EDB" w:rsidRPr="002A6EDB" w:rsidRDefault="00391237" w:rsidP="002A6EDB">
      <w:pPr>
        <w:spacing w:after="0" w:line="276" w:lineRule="auto"/>
        <w:jc w:val="both"/>
        <w:rPr>
          <w:rFonts w:ascii="Times New Roman" w:hAnsi="Times New Roman" w:cs="Times New Roman"/>
          <w:sz w:val="24"/>
          <w:szCs w:val="24"/>
        </w:rPr>
      </w:pPr>
      <w:hyperlink r:id="rId47" w:anchor="ntc15-L_2021057BG.01006301-E0015" w:history="1">
        <w:r w:rsidR="002A6EDB" w:rsidRPr="002A6EDB">
          <w:rPr>
            <w:rFonts w:ascii="Times New Roman" w:hAnsi="Times New Roman" w:cs="Times New Roman"/>
            <w:color w:val="0000FF"/>
            <w:sz w:val="24"/>
            <w:szCs w:val="24"/>
            <w:u w:val="single"/>
          </w:rPr>
          <w:t>(</w:t>
        </w:r>
        <w:r w:rsidR="002A6EDB" w:rsidRPr="002A6EDB">
          <w:rPr>
            <w:rFonts w:ascii="Times New Roman" w:hAnsi="Times New Roman" w:cs="Times New Roman"/>
            <w:color w:val="0000FF"/>
            <w:sz w:val="24"/>
            <w:szCs w:val="24"/>
            <w:u w:val="single"/>
            <w:vertAlign w:val="superscript"/>
          </w:rPr>
          <w:t>15</w:t>
        </w:r>
        <w:r w:rsidR="002A6EDB" w:rsidRPr="002A6EDB">
          <w:rPr>
            <w:rFonts w:ascii="Times New Roman" w:hAnsi="Times New Roman" w:cs="Times New Roman"/>
            <w:color w:val="0000FF"/>
            <w:sz w:val="24"/>
            <w:szCs w:val="24"/>
            <w:u w:val="single"/>
          </w:rPr>
          <w:t>)</w:t>
        </w:r>
      </w:hyperlink>
      <w:r w:rsidR="002A6EDB" w:rsidRPr="002A6EDB">
        <w:rPr>
          <w:rFonts w:ascii="Times New Roman" w:hAnsi="Times New Roman" w:cs="Times New Roman"/>
          <w:sz w:val="24"/>
          <w:szCs w:val="24"/>
        </w:rPr>
        <w:t>  Ако целта на мярката е свързана с електрифицирани железопътни линии и свързаните с тях подсистеми или ако има план за електрификация, или тя ще може да се използва за влакове с нулеви емисии на отработили газове в рамките на 10 години.</w:t>
      </w:r>
    </w:p>
    <w:p w14:paraId="2035961E" w14:textId="77777777" w:rsidR="002A6EDB" w:rsidRPr="002A6EDB" w:rsidRDefault="00391237" w:rsidP="002A6EDB">
      <w:pPr>
        <w:spacing w:after="0" w:line="276" w:lineRule="auto"/>
        <w:jc w:val="both"/>
        <w:rPr>
          <w:rFonts w:ascii="Times New Roman" w:hAnsi="Times New Roman" w:cs="Times New Roman"/>
          <w:sz w:val="24"/>
          <w:szCs w:val="24"/>
        </w:rPr>
      </w:pPr>
      <w:hyperlink r:id="rId48" w:anchor="ntc16-L_2021057BG.01006301-E0016" w:history="1">
        <w:r w:rsidR="002A6EDB" w:rsidRPr="002A6EDB">
          <w:rPr>
            <w:rFonts w:ascii="Times New Roman" w:hAnsi="Times New Roman" w:cs="Times New Roman"/>
            <w:color w:val="0000FF"/>
            <w:sz w:val="24"/>
            <w:szCs w:val="24"/>
            <w:u w:val="single"/>
          </w:rPr>
          <w:t>(</w:t>
        </w:r>
        <w:r w:rsidR="002A6EDB" w:rsidRPr="002A6EDB">
          <w:rPr>
            <w:rFonts w:ascii="Times New Roman" w:hAnsi="Times New Roman" w:cs="Times New Roman"/>
            <w:color w:val="0000FF"/>
            <w:sz w:val="24"/>
            <w:szCs w:val="24"/>
            <w:u w:val="single"/>
            <w:vertAlign w:val="superscript"/>
          </w:rPr>
          <w:t>16</w:t>
        </w:r>
        <w:r w:rsidR="002A6EDB" w:rsidRPr="002A6EDB">
          <w:rPr>
            <w:rFonts w:ascii="Times New Roman" w:hAnsi="Times New Roman" w:cs="Times New Roman"/>
            <w:color w:val="0000FF"/>
            <w:sz w:val="24"/>
            <w:szCs w:val="24"/>
            <w:u w:val="single"/>
          </w:rPr>
          <w:t>)</w:t>
        </w:r>
      </w:hyperlink>
      <w:r w:rsidR="002A6EDB" w:rsidRPr="002A6EDB">
        <w:rPr>
          <w:rFonts w:ascii="Times New Roman" w:hAnsi="Times New Roman" w:cs="Times New Roman"/>
          <w:sz w:val="24"/>
          <w:szCs w:val="24"/>
        </w:rPr>
        <w:t xml:space="preserve">  Прилага се и за </w:t>
      </w:r>
      <w:proofErr w:type="spellStart"/>
      <w:r w:rsidR="002A6EDB" w:rsidRPr="002A6EDB">
        <w:rPr>
          <w:rFonts w:ascii="Times New Roman" w:hAnsi="Times New Roman" w:cs="Times New Roman"/>
          <w:sz w:val="24"/>
          <w:szCs w:val="24"/>
        </w:rPr>
        <w:t>двурежимните</w:t>
      </w:r>
      <w:proofErr w:type="spellEnd"/>
      <w:r w:rsidR="002A6EDB" w:rsidRPr="002A6EDB">
        <w:rPr>
          <w:rFonts w:ascii="Times New Roman" w:hAnsi="Times New Roman" w:cs="Times New Roman"/>
          <w:sz w:val="24"/>
          <w:szCs w:val="24"/>
        </w:rPr>
        <w:t xml:space="preserve"> влакове.</w:t>
      </w:r>
    </w:p>
    <w:p w14:paraId="42CCB2FF" w14:textId="77777777" w:rsidR="002A6EDB" w:rsidRPr="002A6EDB" w:rsidRDefault="00391237" w:rsidP="002A6EDB">
      <w:pPr>
        <w:spacing w:after="0" w:line="276" w:lineRule="auto"/>
        <w:jc w:val="both"/>
        <w:rPr>
          <w:rFonts w:ascii="Times New Roman" w:hAnsi="Times New Roman" w:cs="Times New Roman"/>
          <w:sz w:val="24"/>
          <w:szCs w:val="24"/>
        </w:rPr>
      </w:pPr>
      <w:hyperlink r:id="rId49" w:anchor="ntc17-L_2021057BG.01006301-E0017" w:history="1">
        <w:r w:rsidR="002A6EDB" w:rsidRPr="002A6EDB">
          <w:rPr>
            <w:rFonts w:ascii="Times New Roman" w:hAnsi="Times New Roman" w:cs="Times New Roman"/>
            <w:color w:val="0000FF"/>
            <w:sz w:val="24"/>
            <w:szCs w:val="24"/>
            <w:u w:val="single"/>
          </w:rPr>
          <w:t>(</w:t>
        </w:r>
        <w:r w:rsidR="002A6EDB" w:rsidRPr="002A6EDB">
          <w:rPr>
            <w:rFonts w:ascii="Times New Roman" w:hAnsi="Times New Roman" w:cs="Times New Roman"/>
            <w:color w:val="0000FF"/>
            <w:sz w:val="24"/>
            <w:szCs w:val="24"/>
            <w:u w:val="single"/>
            <w:vertAlign w:val="superscript"/>
          </w:rPr>
          <w:t>17</w:t>
        </w:r>
        <w:r w:rsidR="002A6EDB" w:rsidRPr="002A6EDB">
          <w:rPr>
            <w:rFonts w:ascii="Times New Roman" w:hAnsi="Times New Roman" w:cs="Times New Roman"/>
            <w:color w:val="0000FF"/>
            <w:sz w:val="24"/>
            <w:szCs w:val="24"/>
            <w:u w:val="single"/>
          </w:rPr>
          <w:t>)</w:t>
        </w:r>
      </w:hyperlink>
      <w:r w:rsidR="002A6EDB" w:rsidRPr="002A6EDB">
        <w:rPr>
          <w:rFonts w:ascii="Times New Roman" w:hAnsi="Times New Roman" w:cs="Times New Roman"/>
          <w:sz w:val="24"/>
          <w:szCs w:val="24"/>
        </w:rPr>
        <w:t>  Инфраструктурата за чист градски транспорт се отнася до инфраструктура, която позволява експлоатацията на подвижен състав с нулеви емисии.</w:t>
      </w:r>
    </w:p>
    <w:p w14:paraId="41FBC005" w14:textId="77777777" w:rsidR="002A6EDB" w:rsidRPr="002A6EDB" w:rsidRDefault="00391237" w:rsidP="002A6EDB">
      <w:pPr>
        <w:spacing w:after="0" w:line="276" w:lineRule="auto"/>
        <w:jc w:val="both"/>
        <w:rPr>
          <w:rFonts w:ascii="Times New Roman" w:hAnsi="Times New Roman" w:cs="Times New Roman"/>
          <w:sz w:val="24"/>
          <w:szCs w:val="24"/>
        </w:rPr>
      </w:pPr>
      <w:hyperlink r:id="rId50" w:anchor="ntc18-L_2021057BG.01006301-E0018" w:history="1">
        <w:r w:rsidR="002A6EDB" w:rsidRPr="002A6EDB">
          <w:rPr>
            <w:rFonts w:ascii="Times New Roman" w:hAnsi="Times New Roman" w:cs="Times New Roman"/>
            <w:color w:val="0000FF"/>
            <w:sz w:val="24"/>
            <w:szCs w:val="24"/>
            <w:u w:val="single"/>
          </w:rPr>
          <w:t>(</w:t>
        </w:r>
        <w:r w:rsidR="002A6EDB" w:rsidRPr="002A6EDB">
          <w:rPr>
            <w:rFonts w:ascii="Times New Roman" w:hAnsi="Times New Roman" w:cs="Times New Roman"/>
            <w:color w:val="0000FF"/>
            <w:sz w:val="24"/>
            <w:szCs w:val="24"/>
            <w:u w:val="single"/>
            <w:vertAlign w:val="superscript"/>
          </w:rPr>
          <w:t>18</w:t>
        </w:r>
        <w:r w:rsidR="002A6EDB" w:rsidRPr="002A6EDB">
          <w:rPr>
            <w:rFonts w:ascii="Times New Roman" w:hAnsi="Times New Roman" w:cs="Times New Roman"/>
            <w:color w:val="0000FF"/>
            <w:sz w:val="24"/>
            <w:szCs w:val="24"/>
            <w:u w:val="single"/>
          </w:rPr>
          <w:t>)</w:t>
        </w:r>
      </w:hyperlink>
      <w:r w:rsidR="002A6EDB" w:rsidRPr="002A6EDB">
        <w:rPr>
          <w:rFonts w:ascii="Times New Roman" w:hAnsi="Times New Roman" w:cs="Times New Roman"/>
          <w:sz w:val="24"/>
          <w:szCs w:val="24"/>
        </w:rPr>
        <w:t>  Подвижният състав за чист градски транспорт се отнася до подвижния състав с нулеви емисии.</w:t>
      </w:r>
    </w:p>
    <w:p w14:paraId="7202626B" w14:textId="77777777" w:rsidR="002A6EDB" w:rsidRPr="002A6EDB" w:rsidRDefault="00391237" w:rsidP="002A6EDB">
      <w:pPr>
        <w:spacing w:after="0" w:line="276" w:lineRule="auto"/>
        <w:jc w:val="both"/>
        <w:rPr>
          <w:rFonts w:ascii="Times New Roman" w:hAnsi="Times New Roman" w:cs="Times New Roman"/>
          <w:sz w:val="24"/>
          <w:szCs w:val="24"/>
        </w:rPr>
      </w:pPr>
      <w:hyperlink r:id="rId51" w:anchor="ntc19-L_2021057BG.01006301-E0019" w:history="1">
        <w:r w:rsidR="002A6EDB" w:rsidRPr="002A6EDB">
          <w:rPr>
            <w:rFonts w:ascii="Times New Roman" w:hAnsi="Times New Roman" w:cs="Times New Roman"/>
            <w:color w:val="0000FF"/>
            <w:sz w:val="24"/>
            <w:szCs w:val="24"/>
            <w:u w:val="single"/>
          </w:rPr>
          <w:t>(</w:t>
        </w:r>
        <w:r w:rsidR="002A6EDB" w:rsidRPr="002A6EDB">
          <w:rPr>
            <w:rFonts w:ascii="Times New Roman" w:hAnsi="Times New Roman" w:cs="Times New Roman"/>
            <w:color w:val="0000FF"/>
            <w:sz w:val="24"/>
            <w:szCs w:val="24"/>
            <w:u w:val="single"/>
            <w:vertAlign w:val="superscript"/>
          </w:rPr>
          <w:t>19</w:t>
        </w:r>
        <w:r w:rsidR="002A6EDB" w:rsidRPr="002A6EDB">
          <w:rPr>
            <w:rFonts w:ascii="Times New Roman" w:hAnsi="Times New Roman" w:cs="Times New Roman"/>
            <w:color w:val="0000FF"/>
            <w:sz w:val="24"/>
            <w:szCs w:val="24"/>
            <w:u w:val="single"/>
          </w:rPr>
          <w:t>)</w:t>
        </w:r>
      </w:hyperlink>
      <w:r w:rsidR="002A6EDB" w:rsidRPr="002A6EDB">
        <w:rPr>
          <w:rFonts w:ascii="Times New Roman" w:hAnsi="Times New Roman" w:cs="Times New Roman"/>
          <w:sz w:val="24"/>
          <w:szCs w:val="24"/>
        </w:rPr>
        <w:t>  Ако целта на мярката е в съответствие с Директива (ЕС) 2018/2001.</w:t>
      </w:r>
    </w:p>
    <w:p w14:paraId="6086A492" w14:textId="77777777" w:rsidR="002A6EDB" w:rsidRPr="002A6EDB" w:rsidRDefault="002A6EDB" w:rsidP="002A6EDB">
      <w:pPr>
        <w:spacing w:after="0" w:line="276" w:lineRule="auto"/>
        <w:jc w:val="both"/>
        <w:rPr>
          <w:rFonts w:ascii="Times New Roman" w:hAnsi="Times New Roman" w:cs="Times New Roman"/>
          <w:sz w:val="24"/>
          <w:szCs w:val="24"/>
        </w:rPr>
      </w:pPr>
    </w:p>
    <w:p w14:paraId="27A709C6" w14:textId="62DDEF22" w:rsidR="00512053" w:rsidRPr="002A6EDB" w:rsidRDefault="00512053" w:rsidP="002A6EDB">
      <w:pPr>
        <w:spacing w:after="0" w:line="276" w:lineRule="auto"/>
        <w:jc w:val="both"/>
        <w:rPr>
          <w:rFonts w:ascii="Times New Roman" w:eastAsia="Times New Roman" w:hAnsi="Times New Roman" w:cs="Times New Roman"/>
          <w:color w:val="000000"/>
          <w:sz w:val="24"/>
          <w:szCs w:val="24"/>
          <w:lang w:eastAsia="bg-BG"/>
        </w:rPr>
      </w:pPr>
    </w:p>
    <w:sectPr w:rsidR="00512053" w:rsidRPr="002A6EDB" w:rsidSect="00D92E0D">
      <w:headerReference w:type="default" r:id="rId52"/>
      <w:headerReference w:type="first" r:id="rId53"/>
      <w:pgSz w:w="11906" w:h="16838"/>
      <w:pgMar w:top="709" w:right="1133" w:bottom="851" w:left="1134" w:header="284"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12BA64E" w16cid:durableId="27BB7EF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A2C138" w14:textId="77777777" w:rsidR="00391237" w:rsidRDefault="00391237" w:rsidP="00CF52FE">
      <w:pPr>
        <w:spacing w:after="0" w:line="240" w:lineRule="auto"/>
      </w:pPr>
      <w:r>
        <w:separator/>
      </w:r>
    </w:p>
  </w:endnote>
  <w:endnote w:type="continuationSeparator" w:id="0">
    <w:p w14:paraId="4CF8A642" w14:textId="77777777" w:rsidR="00391237" w:rsidRDefault="00391237" w:rsidP="00CF52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C4DF4A" w14:textId="77777777" w:rsidR="00391237" w:rsidRDefault="00391237" w:rsidP="00CF52FE">
      <w:pPr>
        <w:spacing w:after="0" w:line="240" w:lineRule="auto"/>
      </w:pPr>
      <w:r>
        <w:separator/>
      </w:r>
    </w:p>
  </w:footnote>
  <w:footnote w:type="continuationSeparator" w:id="0">
    <w:p w14:paraId="28363C80" w14:textId="77777777" w:rsidR="00391237" w:rsidRDefault="00391237" w:rsidP="00CF52FE">
      <w:pPr>
        <w:spacing w:after="0" w:line="240" w:lineRule="auto"/>
      </w:pPr>
      <w:r>
        <w:continuationSeparator/>
      </w:r>
    </w:p>
  </w:footnote>
  <w:footnote w:id="1">
    <w:p w14:paraId="74024B02" w14:textId="77777777" w:rsidR="00944D25" w:rsidRPr="009173C8" w:rsidRDefault="00944D25" w:rsidP="00944D25">
      <w:pPr>
        <w:pStyle w:val="FootnoteText"/>
        <w:jc w:val="both"/>
        <w:rPr>
          <w:rFonts w:ascii="Times New Roman" w:hAnsi="Times New Roman" w:cs="Times New Roman"/>
        </w:rPr>
      </w:pPr>
      <w:r w:rsidRPr="009173C8">
        <w:rPr>
          <w:rStyle w:val="FootnoteReference"/>
          <w:rFonts w:ascii="Times New Roman" w:hAnsi="Times New Roman" w:cs="Times New Roman"/>
        </w:rPr>
        <w:footnoteRef/>
      </w:r>
      <w:r w:rsidRPr="009173C8">
        <w:rPr>
          <w:rFonts w:ascii="Times New Roman" w:hAnsi="Times New Roman" w:cs="Times New Roman"/>
        </w:rPr>
        <w:t xml:space="preserve"> С изключение на проекти по тази мярка за производство на електроенергия и/или топлоенергия, както и свързана инфраструктура за пренос и разпределение, използваща природен газ, които отговарят на условията,</w:t>
      </w:r>
      <w:r w:rsidRPr="00E678B6">
        <w:t xml:space="preserve"> </w:t>
      </w:r>
      <w:r w:rsidRPr="009173C8">
        <w:rPr>
          <w:rFonts w:ascii="Times New Roman" w:hAnsi="Times New Roman" w:cs="Times New Roman"/>
        </w:rPr>
        <w:t>посочени в приложение III на техническия документ „Не причинява значителна вреда“ Ръководство (2021/C58/01).</w:t>
      </w:r>
    </w:p>
  </w:footnote>
  <w:footnote w:id="2">
    <w:p w14:paraId="17047B4C" w14:textId="77777777" w:rsidR="00944D25" w:rsidRPr="009173C8" w:rsidRDefault="00944D25" w:rsidP="00944D25">
      <w:pPr>
        <w:pStyle w:val="FootnoteText"/>
        <w:jc w:val="both"/>
        <w:rPr>
          <w:rFonts w:ascii="Times New Roman" w:hAnsi="Times New Roman" w:cs="Times New Roman"/>
        </w:rPr>
      </w:pPr>
      <w:r w:rsidRPr="009173C8">
        <w:rPr>
          <w:rStyle w:val="FootnoteReference"/>
          <w:rFonts w:ascii="Times New Roman" w:hAnsi="Times New Roman" w:cs="Times New Roman"/>
        </w:rPr>
        <w:footnoteRef/>
      </w:r>
      <w:r w:rsidRPr="009173C8">
        <w:rPr>
          <w:rFonts w:ascii="Times New Roman" w:hAnsi="Times New Roman" w:cs="Times New Roman"/>
        </w:rPr>
        <w:t xml:space="preserve"> Когато подпомаганата дейност постига прогнозирани емисии на парникови газове, които не са значително по-ниски от съответните показатели, се предоставя обяснение на причините, поради които това не е възможно. Установени показатели за безплатно разпределение на квоти за дейности, попадащи в обхвата на системата за търговия с емисии, както е посочено в Регламент за изпълнение (ЕС) 2021/447 на Комисията.</w:t>
      </w:r>
    </w:p>
  </w:footnote>
  <w:footnote w:id="3">
    <w:p w14:paraId="21FAD7EC" w14:textId="77777777" w:rsidR="00944D25" w:rsidRPr="009173C8" w:rsidRDefault="00944D25" w:rsidP="00944D25">
      <w:pPr>
        <w:pStyle w:val="FootnoteText"/>
        <w:jc w:val="both"/>
        <w:rPr>
          <w:rFonts w:ascii="Times New Roman" w:hAnsi="Times New Roman" w:cs="Times New Roman"/>
        </w:rPr>
      </w:pPr>
      <w:r w:rsidRPr="009173C8">
        <w:rPr>
          <w:rStyle w:val="FootnoteReference"/>
          <w:rFonts w:ascii="Times New Roman" w:hAnsi="Times New Roman" w:cs="Times New Roman"/>
        </w:rPr>
        <w:footnoteRef/>
      </w:r>
      <w:r w:rsidRPr="009173C8">
        <w:rPr>
          <w:rFonts w:ascii="Times New Roman" w:hAnsi="Times New Roman" w:cs="Times New Roman"/>
        </w:rPr>
        <w:t xml:space="preserve"> Това изключение не се прилага за действия по тази мярка в инсталации, предназначени изключително за третиране на </w:t>
      </w:r>
      <w:proofErr w:type="spellStart"/>
      <w:r w:rsidRPr="009173C8">
        <w:rPr>
          <w:rFonts w:ascii="Times New Roman" w:hAnsi="Times New Roman" w:cs="Times New Roman"/>
        </w:rPr>
        <w:t>нерециклируеми</w:t>
      </w:r>
      <w:proofErr w:type="spellEnd"/>
      <w:r w:rsidRPr="009173C8">
        <w:rPr>
          <w:rFonts w:ascii="Times New Roman" w:hAnsi="Times New Roman" w:cs="Times New Roman"/>
        </w:rPr>
        <w:t xml:space="preserve"> опасни отпадъци, както и за съществуващи инсталации, където действията по тази мярка са с цел повишаване на енергийната ефективност, улавяне на отработените газове за съхраняване или използване или оползотворяване на материали от пепел от изгаряне, при условие че подобни действия по тази мярка не водят до увеличаване на капацитета на инсталациите за преработка на отпадъци или до удължаване на живота на инсталациите; за което се предоставят доказателства на ниво предприятие.</w:t>
      </w:r>
    </w:p>
  </w:footnote>
  <w:footnote w:id="4">
    <w:p w14:paraId="2F3A2CE3" w14:textId="77777777" w:rsidR="00944D25" w:rsidRPr="009173C8" w:rsidRDefault="00944D25" w:rsidP="00944D25">
      <w:pPr>
        <w:pStyle w:val="FootnoteText"/>
        <w:jc w:val="both"/>
        <w:rPr>
          <w:rFonts w:ascii="Times New Roman" w:hAnsi="Times New Roman" w:cs="Times New Roman"/>
        </w:rPr>
      </w:pPr>
      <w:r w:rsidRPr="009173C8">
        <w:rPr>
          <w:rStyle w:val="FootnoteReference"/>
          <w:rFonts w:ascii="Times New Roman" w:hAnsi="Times New Roman" w:cs="Times New Roman"/>
        </w:rPr>
        <w:footnoteRef/>
      </w:r>
      <w:r w:rsidRPr="009173C8">
        <w:rPr>
          <w:rFonts w:ascii="Times New Roman" w:hAnsi="Times New Roman" w:cs="Times New Roman"/>
        </w:rPr>
        <w:t xml:space="preserve"> Това изключение не се прилага за действия по тази мярка в съществуващи инсталации за механично биологично третиране, когато действията по тази мярка са с цел повишаване на енергийната ефективност или преоборудване за операции по рециклиране на разделени отпадъци за </w:t>
      </w:r>
      <w:proofErr w:type="spellStart"/>
      <w:r w:rsidRPr="009173C8">
        <w:rPr>
          <w:rFonts w:ascii="Times New Roman" w:hAnsi="Times New Roman" w:cs="Times New Roman"/>
        </w:rPr>
        <w:t>компостиране</w:t>
      </w:r>
      <w:proofErr w:type="spellEnd"/>
      <w:r w:rsidRPr="009173C8">
        <w:rPr>
          <w:rFonts w:ascii="Times New Roman" w:hAnsi="Times New Roman" w:cs="Times New Roman"/>
        </w:rPr>
        <w:t xml:space="preserve"> на </w:t>
      </w:r>
      <w:proofErr w:type="spellStart"/>
      <w:r w:rsidRPr="009173C8">
        <w:rPr>
          <w:rFonts w:ascii="Times New Roman" w:hAnsi="Times New Roman" w:cs="Times New Roman"/>
        </w:rPr>
        <w:t>биоотпадъци</w:t>
      </w:r>
      <w:proofErr w:type="spellEnd"/>
      <w:r w:rsidRPr="009173C8">
        <w:rPr>
          <w:rFonts w:ascii="Times New Roman" w:hAnsi="Times New Roman" w:cs="Times New Roman"/>
        </w:rPr>
        <w:t xml:space="preserve"> и анаеробни разграждане на биологични отпадъци, при условие че тези действия по тази мярка не водят до увеличаване на капацитета на инсталациите за преработка на отпадъци или до удължаване на живота на инсталациите; за което се предоставят доказателства на ниво предприятие.</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7EA189" w14:textId="2BA5061D" w:rsidR="00E678B6" w:rsidRDefault="00E678B6" w:rsidP="00CF52FE">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9115F3" w14:textId="5B4BE052" w:rsidR="00E678B6" w:rsidRDefault="002535C5" w:rsidP="00D92E0D">
    <w:pPr>
      <w:pStyle w:val="Header"/>
      <w:jc w:val="center"/>
    </w:pPr>
    <w:r>
      <w:rPr>
        <w:noProof/>
        <w:lang w:eastAsia="bg-BG"/>
      </w:rPr>
      <w:drawing>
        <wp:inline distT="0" distB="0" distL="0" distR="0" wp14:anchorId="703A2A52" wp14:editId="329CF784">
          <wp:extent cx="6115050" cy="6096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050" cy="609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04B42"/>
    <w:multiLevelType w:val="hybridMultilevel"/>
    <w:tmpl w:val="C44645C2"/>
    <w:lvl w:ilvl="0" w:tplc="84B6997E">
      <w:start w:val="1"/>
      <w:numFmt w:val="bullet"/>
      <w:lvlText w:val="•"/>
      <w:lvlJc w:val="left"/>
      <w:pPr>
        <w:tabs>
          <w:tab w:val="num" w:pos="720"/>
        </w:tabs>
        <w:ind w:left="720" w:hanging="360"/>
      </w:pPr>
      <w:rPr>
        <w:rFonts w:ascii="Arial" w:hAnsi="Arial" w:hint="default"/>
      </w:rPr>
    </w:lvl>
    <w:lvl w:ilvl="1" w:tplc="E3A865EC" w:tentative="1">
      <w:start w:val="1"/>
      <w:numFmt w:val="bullet"/>
      <w:lvlText w:val="•"/>
      <w:lvlJc w:val="left"/>
      <w:pPr>
        <w:tabs>
          <w:tab w:val="num" w:pos="1440"/>
        </w:tabs>
        <w:ind w:left="1440" w:hanging="360"/>
      </w:pPr>
      <w:rPr>
        <w:rFonts w:ascii="Arial" w:hAnsi="Arial" w:hint="default"/>
      </w:rPr>
    </w:lvl>
    <w:lvl w:ilvl="2" w:tplc="815E5A8A" w:tentative="1">
      <w:start w:val="1"/>
      <w:numFmt w:val="bullet"/>
      <w:lvlText w:val="•"/>
      <w:lvlJc w:val="left"/>
      <w:pPr>
        <w:tabs>
          <w:tab w:val="num" w:pos="2160"/>
        </w:tabs>
        <w:ind w:left="2160" w:hanging="360"/>
      </w:pPr>
      <w:rPr>
        <w:rFonts w:ascii="Arial" w:hAnsi="Arial" w:hint="default"/>
      </w:rPr>
    </w:lvl>
    <w:lvl w:ilvl="3" w:tplc="E25A50D4" w:tentative="1">
      <w:start w:val="1"/>
      <w:numFmt w:val="bullet"/>
      <w:lvlText w:val="•"/>
      <w:lvlJc w:val="left"/>
      <w:pPr>
        <w:tabs>
          <w:tab w:val="num" w:pos="2880"/>
        </w:tabs>
        <w:ind w:left="2880" w:hanging="360"/>
      </w:pPr>
      <w:rPr>
        <w:rFonts w:ascii="Arial" w:hAnsi="Arial" w:hint="default"/>
      </w:rPr>
    </w:lvl>
    <w:lvl w:ilvl="4" w:tplc="330A515C" w:tentative="1">
      <w:start w:val="1"/>
      <w:numFmt w:val="bullet"/>
      <w:lvlText w:val="•"/>
      <w:lvlJc w:val="left"/>
      <w:pPr>
        <w:tabs>
          <w:tab w:val="num" w:pos="3600"/>
        </w:tabs>
        <w:ind w:left="3600" w:hanging="360"/>
      </w:pPr>
      <w:rPr>
        <w:rFonts w:ascii="Arial" w:hAnsi="Arial" w:hint="default"/>
      </w:rPr>
    </w:lvl>
    <w:lvl w:ilvl="5" w:tplc="D13A3B56" w:tentative="1">
      <w:start w:val="1"/>
      <w:numFmt w:val="bullet"/>
      <w:lvlText w:val="•"/>
      <w:lvlJc w:val="left"/>
      <w:pPr>
        <w:tabs>
          <w:tab w:val="num" w:pos="4320"/>
        </w:tabs>
        <w:ind w:left="4320" w:hanging="360"/>
      </w:pPr>
      <w:rPr>
        <w:rFonts w:ascii="Arial" w:hAnsi="Arial" w:hint="default"/>
      </w:rPr>
    </w:lvl>
    <w:lvl w:ilvl="6" w:tplc="D22C8FAC" w:tentative="1">
      <w:start w:val="1"/>
      <w:numFmt w:val="bullet"/>
      <w:lvlText w:val="•"/>
      <w:lvlJc w:val="left"/>
      <w:pPr>
        <w:tabs>
          <w:tab w:val="num" w:pos="5040"/>
        </w:tabs>
        <w:ind w:left="5040" w:hanging="360"/>
      </w:pPr>
      <w:rPr>
        <w:rFonts w:ascii="Arial" w:hAnsi="Arial" w:hint="default"/>
      </w:rPr>
    </w:lvl>
    <w:lvl w:ilvl="7" w:tplc="2A6CD5AA" w:tentative="1">
      <w:start w:val="1"/>
      <w:numFmt w:val="bullet"/>
      <w:lvlText w:val="•"/>
      <w:lvlJc w:val="left"/>
      <w:pPr>
        <w:tabs>
          <w:tab w:val="num" w:pos="5760"/>
        </w:tabs>
        <w:ind w:left="5760" w:hanging="360"/>
      </w:pPr>
      <w:rPr>
        <w:rFonts w:ascii="Arial" w:hAnsi="Arial" w:hint="default"/>
      </w:rPr>
    </w:lvl>
    <w:lvl w:ilvl="8" w:tplc="786AFDC8"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4E02398"/>
    <w:multiLevelType w:val="hybridMultilevel"/>
    <w:tmpl w:val="88EA2326"/>
    <w:lvl w:ilvl="0" w:tplc="AA46EA6A">
      <w:start w:val="1"/>
      <w:numFmt w:val="bullet"/>
      <w:lvlText w:val="o"/>
      <w:lvlJc w:val="left"/>
      <w:pPr>
        <w:tabs>
          <w:tab w:val="num" w:pos="720"/>
        </w:tabs>
        <w:ind w:left="720" w:hanging="360"/>
      </w:pPr>
      <w:rPr>
        <w:rFonts w:ascii="Courier New" w:hAnsi="Courier New" w:hint="default"/>
      </w:rPr>
    </w:lvl>
    <w:lvl w:ilvl="1" w:tplc="739E0064" w:tentative="1">
      <w:start w:val="1"/>
      <w:numFmt w:val="bullet"/>
      <w:lvlText w:val="o"/>
      <w:lvlJc w:val="left"/>
      <w:pPr>
        <w:tabs>
          <w:tab w:val="num" w:pos="1440"/>
        </w:tabs>
        <w:ind w:left="1440" w:hanging="360"/>
      </w:pPr>
      <w:rPr>
        <w:rFonts w:ascii="Courier New" w:hAnsi="Courier New" w:hint="default"/>
      </w:rPr>
    </w:lvl>
    <w:lvl w:ilvl="2" w:tplc="658C118E" w:tentative="1">
      <w:start w:val="1"/>
      <w:numFmt w:val="bullet"/>
      <w:lvlText w:val="o"/>
      <w:lvlJc w:val="left"/>
      <w:pPr>
        <w:tabs>
          <w:tab w:val="num" w:pos="2160"/>
        </w:tabs>
        <w:ind w:left="2160" w:hanging="360"/>
      </w:pPr>
      <w:rPr>
        <w:rFonts w:ascii="Courier New" w:hAnsi="Courier New" w:hint="default"/>
      </w:rPr>
    </w:lvl>
    <w:lvl w:ilvl="3" w:tplc="E2AC6E82" w:tentative="1">
      <w:start w:val="1"/>
      <w:numFmt w:val="bullet"/>
      <w:lvlText w:val="o"/>
      <w:lvlJc w:val="left"/>
      <w:pPr>
        <w:tabs>
          <w:tab w:val="num" w:pos="2880"/>
        </w:tabs>
        <w:ind w:left="2880" w:hanging="360"/>
      </w:pPr>
      <w:rPr>
        <w:rFonts w:ascii="Courier New" w:hAnsi="Courier New" w:hint="default"/>
      </w:rPr>
    </w:lvl>
    <w:lvl w:ilvl="4" w:tplc="095675E6" w:tentative="1">
      <w:start w:val="1"/>
      <w:numFmt w:val="bullet"/>
      <w:lvlText w:val="o"/>
      <w:lvlJc w:val="left"/>
      <w:pPr>
        <w:tabs>
          <w:tab w:val="num" w:pos="3600"/>
        </w:tabs>
        <w:ind w:left="3600" w:hanging="360"/>
      </w:pPr>
      <w:rPr>
        <w:rFonts w:ascii="Courier New" w:hAnsi="Courier New" w:hint="default"/>
      </w:rPr>
    </w:lvl>
    <w:lvl w:ilvl="5" w:tplc="8C60C1F8" w:tentative="1">
      <w:start w:val="1"/>
      <w:numFmt w:val="bullet"/>
      <w:lvlText w:val="o"/>
      <w:lvlJc w:val="left"/>
      <w:pPr>
        <w:tabs>
          <w:tab w:val="num" w:pos="4320"/>
        </w:tabs>
        <w:ind w:left="4320" w:hanging="360"/>
      </w:pPr>
      <w:rPr>
        <w:rFonts w:ascii="Courier New" w:hAnsi="Courier New" w:hint="default"/>
      </w:rPr>
    </w:lvl>
    <w:lvl w:ilvl="6" w:tplc="E410F562" w:tentative="1">
      <w:start w:val="1"/>
      <w:numFmt w:val="bullet"/>
      <w:lvlText w:val="o"/>
      <w:lvlJc w:val="left"/>
      <w:pPr>
        <w:tabs>
          <w:tab w:val="num" w:pos="5040"/>
        </w:tabs>
        <w:ind w:left="5040" w:hanging="360"/>
      </w:pPr>
      <w:rPr>
        <w:rFonts w:ascii="Courier New" w:hAnsi="Courier New" w:hint="default"/>
      </w:rPr>
    </w:lvl>
    <w:lvl w:ilvl="7" w:tplc="6796501C" w:tentative="1">
      <w:start w:val="1"/>
      <w:numFmt w:val="bullet"/>
      <w:lvlText w:val="o"/>
      <w:lvlJc w:val="left"/>
      <w:pPr>
        <w:tabs>
          <w:tab w:val="num" w:pos="5760"/>
        </w:tabs>
        <w:ind w:left="5760" w:hanging="360"/>
      </w:pPr>
      <w:rPr>
        <w:rFonts w:ascii="Courier New" w:hAnsi="Courier New" w:hint="default"/>
      </w:rPr>
    </w:lvl>
    <w:lvl w:ilvl="8" w:tplc="ACFA6546" w:tentative="1">
      <w:start w:val="1"/>
      <w:numFmt w:val="bullet"/>
      <w:lvlText w:val="o"/>
      <w:lvlJc w:val="left"/>
      <w:pPr>
        <w:tabs>
          <w:tab w:val="num" w:pos="6480"/>
        </w:tabs>
        <w:ind w:left="6480" w:hanging="360"/>
      </w:pPr>
      <w:rPr>
        <w:rFonts w:ascii="Courier New" w:hAnsi="Courier New" w:hint="default"/>
      </w:rPr>
    </w:lvl>
  </w:abstractNum>
  <w:abstractNum w:abstractNumId="2" w15:restartNumberingAfterBreak="0">
    <w:nsid w:val="097E66D0"/>
    <w:multiLevelType w:val="hybridMultilevel"/>
    <w:tmpl w:val="0F9AF57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150057A9"/>
    <w:multiLevelType w:val="hybridMultilevel"/>
    <w:tmpl w:val="82EE67DA"/>
    <w:lvl w:ilvl="0" w:tplc="AC362484">
      <w:start w:val="1"/>
      <w:numFmt w:val="bullet"/>
      <w:lvlText w:val="•"/>
      <w:lvlJc w:val="left"/>
      <w:pPr>
        <w:tabs>
          <w:tab w:val="num" w:pos="720"/>
        </w:tabs>
        <w:ind w:left="720" w:hanging="360"/>
      </w:pPr>
      <w:rPr>
        <w:rFonts w:ascii="Arial" w:hAnsi="Arial" w:hint="default"/>
      </w:rPr>
    </w:lvl>
    <w:lvl w:ilvl="1" w:tplc="1DA0E618" w:tentative="1">
      <w:start w:val="1"/>
      <w:numFmt w:val="bullet"/>
      <w:lvlText w:val="•"/>
      <w:lvlJc w:val="left"/>
      <w:pPr>
        <w:tabs>
          <w:tab w:val="num" w:pos="1440"/>
        </w:tabs>
        <w:ind w:left="1440" w:hanging="360"/>
      </w:pPr>
      <w:rPr>
        <w:rFonts w:ascii="Arial" w:hAnsi="Arial" w:hint="default"/>
      </w:rPr>
    </w:lvl>
    <w:lvl w:ilvl="2" w:tplc="E5522F8E" w:tentative="1">
      <w:start w:val="1"/>
      <w:numFmt w:val="bullet"/>
      <w:lvlText w:val="•"/>
      <w:lvlJc w:val="left"/>
      <w:pPr>
        <w:tabs>
          <w:tab w:val="num" w:pos="2160"/>
        </w:tabs>
        <w:ind w:left="2160" w:hanging="360"/>
      </w:pPr>
      <w:rPr>
        <w:rFonts w:ascii="Arial" w:hAnsi="Arial" w:hint="default"/>
      </w:rPr>
    </w:lvl>
    <w:lvl w:ilvl="3" w:tplc="A79CB78E" w:tentative="1">
      <w:start w:val="1"/>
      <w:numFmt w:val="bullet"/>
      <w:lvlText w:val="•"/>
      <w:lvlJc w:val="left"/>
      <w:pPr>
        <w:tabs>
          <w:tab w:val="num" w:pos="2880"/>
        </w:tabs>
        <w:ind w:left="2880" w:hanging="360"/>
      </w:pPr>
      <w:rPr>
        <w:rFonts w:ascii="Arial" w:hAnsi="Arial" w:hint="default"/>
      </w:rPr>
    </w:lvl>
    <w:lvl w:ilvl="4" w:tplc="638C8636" w:tentative="1">
      <w:start w:val="1"/>
      <w:numFmt w:val="bullet"/>
      <w:lvlText w:val="•"/>
      <w:lvlJc w:val="left"/>
      <w:pPr>
        <w:tabs>
          <w:tab w:val="num" w:pos="3600"/>
        </w:tabs>
        <w:ind w:left="3600" w:hanging="360"/>
      </w:pPr>
      <w:rPr>
        <w:rFonts w:ascii="Arial" w:hAnsi="Arial" w:hint="default"/>
      </w:rPr>
    </w:lvl>
    <w:lvl w:ilvl="5" w:tplc="281C4342" w:tentative="1">
      <w:start w:val="1"/>
      <w:numFmt w:val="bullet"/>
      <w:lvlText w:val="•"/>
      <w:lvlJc w:val="left"/>
      <w:pPr>
        <w:tabs>
          <w:tab w:val="num" w:pos="4320"/>
        </w:tabs>
        <w:ind w:left="4320" w:hanging="360"/>
      </w:pPr>
      <w:rPr>
        <w:rFonts w:ascii="Arial" w:hAnsi="Arial" w:hint="default"/>
      </w:rPr>
    </w:lvl>
    <w:lvl w:ilvl="6" w:tplc="A238EFF6" w:tentative="1">
      <w:start w:val="1"/>
      <w:numFmt w:val="bullet"/>
      <w:lvlText w:val="•"/>
      <w:lvlJc w:val="left"/>
      <w:pPr>
        <w:tabs>
          <w:tab w:val="num" w:pos="5040"/>
        </w:tabs>
        <w:ind w:left="5040" w:hanging="360"/>
      </w:pPr>
      <w:rPr>
        <w:rFonts w:ascii="Arial" w:hAnsi="Arial" w:hint="default"/>
      </w:rPr>
    </w:lvl>
    <w:lvl w:ilvl="7" w:tplc="38D6F7FA" w:tentative="1">
      <w:start w:val="1"/>
      <w:numFmt w:val="bullet"/>
      <w:lvlText w:val="•"/>
      <w:lvlJc w:val="left"/>
      <w:pPr>
        <w:tabs>
          <w:tab w:val="num" w:pos="5760"/>
        </w:tabs>
        <w:ind w:left="5760" w:hanging="360"/>
      </w:pPr>
      <w:rPr>
        <w:rFonts w:ascii="Arial" w:hAnsi="Arial" w:hint="default"/>
      </w:rPr>
    </w:lvl>
    <w:lvl w:ilvl="8" w:tplc="FE6C0D14"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DB817F1"/>
    <w:multiLevelType w:val="hybridMultilevel"/>
    <w:tmpl w:val="3E9E83C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32715B5E"/>
    <w:multiLevelType w:val="hybridMultilevel"/>
    <w:tmpl w:val="738AE4B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33795849"/>
    <w:multiLevelType w:val="hybridMultilevel"/>
    <w:tmpl w:val="87C04FF6"/>
    <w:lvl w:ilvl="0" w:tplc="F70C1FB8">
      <w:start w:val="1"/>
      <w:numFmt w:val="bullet"/>
      <w:lvlText w:val="•"/>
      <w:lvlJc w:val="left"/>
      <w:pPr>
        <w:tabs>
          <w:tab w:val="num" w:pos="720"/>
        </w:tabs>
        <w:ind w:left="720" w:hanging="360"/>
      </w:pPr>
      <w:rPr>
        <w:rFonts w:ascii="Times New Roman" w:hAnsi="Times New Roman" w:hint="default"/>
      </w:rPr>
    </w:lvl>
    <w:lvl w:ilvl="1" w:tplc="52085E96" w:tentative="1">
      <w:start w:val="1"/>
      <w:numFmt w:val="bullet"/>
      <w:lvlText w:val="•"/>
      <w:lvlJc w:val="left"/>
      <w:pPr>
        <w:tabs>
          <w:tab w:val="num" w:pos="1440"/>
        </w:tabs>
        <w:ind w:left="1440" w:hanging="360"/>
      </w:pPr>
      <w:rPr>
        <w:rFonts w:ascii="Times New Roman" w:hAnsi="Times New Roman" w:hint="default"/>
      </w:rPr>
    </w:lvl>
    <w:lvl w:ilvl="2" w:tplc="34D679C6" w:tentative="1">
      <w:start w:val="1"/>
      <w:numFmt w:val="bullet"/>
      <w:lvlText w:val="•"/>
      <w:lvlJc w:val="left"/>
      <w:pPr>
        <w:tabs>
          <w:tab w:val="num" w:pos="2160"/>
        </w:tabs>
        <w:ind w:left="2160" w:hanging="360"/>
      </w:pPr>
      <w:rPr>
        <w:rFonts w:ascii="Times New Roman" w:hAnsi="Times New Roman" w:hint="default"/>
      </w:rPr>
    </w:lvl>
    <w:lvl w:ilvl="3" w:tplc="44980EE8" w:tentative="1">
      <w:start w:val="1"/>
      <w:numFmt w:val="bullet"/>
      <w:lvlText w:val="•"/>
      <w:lvlJc w:val="left"/>
      <w:pPr>
        <w:tabs>
          <w:tab w:val="num" w:pos="2880"/>
        </w:tabs>
        <w:ind w:left="2880" w:hanging="360"/>
      </w:pPr>
      <w:rPr>
        <w:rFonts w:ascii="Times New Roman" w:hAnsi="Times New Roman" w:hint="default"/>
      </w:rPr>
    </w:lvl>
    <w:lvl w:ilvl="4" w:tplc="1BD62C80" w:tentative="1">
      <w:start w:val="1"/>
      <w:numFmt w:val="bullet"/>
      <w:lvlText w:val="•"/>
      <w:lvlJc w:val="left"/>
      <w:pPr>
        <w:tabs>
          <w:tab w:val="num" w:pos="3600"/>
        </w:tabs>
        <w:ind w:left="3600" w:hanging="360"/>
      </w:pPr>
      <w:rPr>
        <w:rFonts w:ascii="Times New Roman" w:hAnsi="Times New Roman" w:hint="default"/>
      </w:rPr>
    </w:lvl>
    <w:lvl w:ilvl="5" w:tplc="8C10A230" w:tentative="1">
      <w:start w:val="1"/>
      <w:numFmt w:val="bullet"/>
      <w:lvlText w:val="•"/>
      <w:lvlJc w:val="left"/>
      <w:pPr>
        <w:tabs>
          <w:tab w:val="num" w:pos="4320"/>
        </w:tabs>
        <w:ind w:left="4320" w:hanging="360"/>
      </w:pPr>
      <w:rPr>
        <w:rFonts w:ascii="Times New Roman" w:hAnsi="Times New Roman" w:hint="default"/>
      </w:rPr>
    </w:lvl>
    <w:lvl w:ilvl="6" w:tplc="B0C4C86E" w:tentative="1">
      <w:start w:val="1"/>
      <w:numFmt w:val="bullet"/>
      <w:lvlText w:val="•"/>
      <w:lvlJc w:val="left"/>
      <w:pPr>
        <w:tabs>
          <w:tab w:val="num" w:pos="5040"/>
        </w:tabs>
        <w:ind w:left="5040" w:hanging="360"/>
      </w:pPr>
      <w:rPr>
        <w:rFonts w:ascii="Times New Roman" w:hAnsi="Times New Roman" w:hint="default"/>
      </w:rPr>
    </w:lvl>
    <w:lvl w:ilvl="7" w:tplc="C232992A" w:tentative="1">
      <w:start w:val="1"/>
      <w:numFmt w:val="bullet"/>
      <w:lvlText w:val="•"/>
      <w:lvlJc w:val="left"/>
      <w:pPr>
        <w:tabs>
          <w:tab w:val="num" w:pos="5760"/>
        </w:tabs>
        <w:ind w:left="5760" w:hanging="360"/>
      </w:pPr>
      <w:rPr>
        <w:rFonts w:ascii="Times New Roman" w:hAnsi="Times New Roman" w:hint="default"/>
      </w:rPr>
    </w:lvl>
    <w:lvl w:ilvl="8" w:tplc="8306FFF2"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35E72497"/>
    <w:multiLevelType w:val="hybridMultilevel"/>
    <w:tmpl w:val="FDFE9B7C"/>
    <w:lvl w:ilvl="0" w:tplc="74D81870">
      <w:start w:val="1"/>
      <w:numFmt w:val="bullet"/>
      <w:lvlText w:val="•"/>
      <w:lvlJc w:val="left"/>
      <w:pPr>
        <w:tabs>
          <w:tab w:val="num" w:pos="720"/>
        </w:tabs>
        <w:ind w:left="720" w:hanging="360"/>
      </w:pPr>
      <w:rPr>
        <w:rFonts w:ascii="Arial" w:hAnsi="Arial" w:hint="default"/>
      </w:rPr>
    </w:lvl>
    <w:lvl w:ilvl="1" w:tplc="FA08B0E2" w:tentative="1">
      <w:start w:val="1"/>
      <w:numFmt w:val="bullet"/>
      <w:lvlText w:val="•"/>
      <w:lvlJc w:val="left"/>
      <w:pPr>
        <w:tabs>
          <w:tab w:val="num" w:pos="1440"/>
        </w:tabs>
        <w:ind w:left="1440" w:hanging="360"/>
      </w:pPr>
      <w:rPr>
        <w:rFonts w:ascii="Arial" w:hAnsi="Arial" w:hint="default"/>
      </w:rPr>
    </w:lvl>
    <w:lvl w:ilvl="2" w:tplc="7C9A9FDA" w:tentative="1">
      <w:start w:val="1"/>
      <w:numFmt w:val="bullet"/>
      <w:lvlText w:val="•"/>
      <w:lvlJc w:val="left"/>
      <w:pPr>
        <w:tabs>
          <w:tab w:val="num" w:pos="2160"/>
        </w:tabs>
        <w:ind w:left="2160" w:hanging="360"/>
      </w:pPr>
      <w:rPr>
        <w:rFonts w:ascii="Arial" w:hAnsi="Arial" w:hint="default"/>
      </w:rPr>
    </w:lvl>
    <w:lvl w:ilvl="3" w:tplc="D54A2D2C" w:tentative="1">
      <w:start w:val="1"/>
      <w:numFmt w:val="bullet"/>
      <w:lvlText w:val="•"/>
      <w:lvlJc w:val="left"/>
      <w:pPr>
        <w:tabs>
          <w:tab w:val="num" w:pos="2880"/>
        </w:tabs>
        <w:ind w:left="2880" w:hanging="360"/>
      </w:pPr>
      <w:rPr>
        <w:rFonts w:ascii="Arial" w:hAnsi="Arial" w:hint="default"/>
      </w:rPr>
    </w:lvl>
    <w:lvl w:ilvl="4" w:tplc="63504B18" w:tentative="1">
      <w:start w:val="1"/>
      <w:numFmt w:val="bullet"/>
      <w:lvlText w:val="•"/>
      <w:lvlJc w:val="left"/>
      <w:pPr>
        <w:tabs>
          <w:tab w:val="num" w:pos="3600"/>
        </w:tabs>
        <w:ind w:left="3600" w:hanging="360"/>
      </w:pPr>
      <w:rPr>
        <w:rFonts w:ascii="Arial" w:hAnsi="Arial" w:hint="default"/>
      </w:rPr>
    </w:lvl>
    <w:lvl w:ilvl="5" w:tplc="418AA7E8" w:tentative="1">
      <w:start w:val="1"/>
      <w:numFmt w:val="bullet"/>
      <w:lvlText w:val="•"/>
      <w:lvlJc w:val="left"/>
      <w:pPr>
        <w:tabs>
          <w:tab w:val="num" w:pos="4320"/>
        </w:tabs>
        <w:ind w:left="4320" w:hanging="360"/>
      </w:pPr>
      <w:rPr>
        <w:rFonts w:ascii="Arial" w:hAnsi="Arial" w:hint="default"/>
      </w:rPr>
    </w:lvl>
    <w:lvl w:ilvl="6" w:tplc="EAB82AF0" w:tentative="1">
      <w:start w:val="1"/>
      <w:numFmt w:val="bullet"/>
      <w:lvlText w:val="•"/>
      <w:lvlJc w:val="left"/>
      <w:pPr>
        <w:tabs>
          <w:tab w:val="num" w:pos="5040"/>
        </w:tabs>
        <w:ind w:left="5040" w:hanging="360"/>
      </w:pPr>
      <w:rPr>
        <w:rFonts w:ascii="Arial" w:hAnsi="Arial" w:hint="default"/>
      </w:rPr>
    </w:lvl>
    <w:lvl w:ilvl="7" w:tplc="8216E34C" w:tentative="1">
      <w:start w:val="1"/>
      <w:numFmt w:val="bullet"/>
      <w:lvlText w:val="•"/>
      <w:lvlJc w:val="left"/>
      <w:pPr>
        <w:tabs>
          <w:tab w:val="num" w:pos="5760"/>
        </w:tabs>
        <w:ind w:left="5760" w:hanging="360"/>
      </w:pPr>
      <w:rPr>
        <w:rFonts w:ascii="Arial" w:hAnsi="Arial" w:hint="default"/>
      </w:rPr>
    </w:lvl>
    <w:lvl w:ilvl="8" w:tplc="82B85988"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39B520A6"/>
    <w:multiLevelType w:val="hybridMultilevel"/>
    <w:tmpl w:val="855816DA"/>
    <w:lvl w:ilvl="0" w:tplc="EDE4F348">
      <w:start w:val="1"/>
      <w:numFmt w:val="bullet"/>
      <w:lvlText w:val="•"/>
      <w:lvlJc w:val="left"/>
      <w:pPr>
        <w:tabs>
          <w:tab w:val="num" w:pos="720"/>
        </w:tabs>
        <w:ind w:left="720" w:hanging="360"/>
      </w:pPr>
      <w:rPr>
        <w:rFonts w:ascii="Arial" w:hAnsi="Arial" w:hint="default"/>
      </w:rPr>
    </w:lvl>
    <w:lvl w:ilvl="1" w:tplc="AEB85734" w:tentative="1">
      <w:start w:val="1"/>
      <w:numFmt w:val="bullet"/>
      <w:lvlText w:val="•"/>
      <w:lvlJc w:val="left"/>
      <w:pPr>
        <w:tabs>
          <w:tab w:val="num" w:pos="1440"/>
        </w:tabs>
        <w:ind w:left="1440" w:hanging="360"/>
      </w:pPr>
      <w:rPr>
        <w:rFonts w:ascii="Arial" w:hAnsi="Arial" w:hint="default"/>
      </w:rPr>
    </w:lvl>
    <w:lvl w:ilvl="2" w:tplc="C4044816" w:tentative="1">
      <w:start w:val="1"/>
      <w:numFmt w:val="bullet"/>
      <w:lvlText w:val="•"/>
      <w:lvlJc w:val="left"/>
      <w:pPr>
        <w:tabs>
          <w:tab w:val="num" w:pos="2160"/>
        </w:tabs>
        <w:ind w:left="2160" w:hanging="360"/>
      </w:pPr>
      <w:rPr>
        <w:rFonts w:ascii="Arial" w:hAnsi="Arial" w:hint="default"/>
      </w:rPr>
    </w:lvl>
    <w:lvl w:ilvl="3" w:tplc="0404761C" w:tentative="1">
      <w:start w:val="1"/>
      <w:numFmt w:val="bullet"/>
      <w:lvlText w:val="•"/>
      <w:lvlJc w:val="left"/>
      <w:pPr>
        <w:tabs>
          <w:tab w:val="num" w:pos="2880"/>
        </w:tabs>
        <w:ind w:left="2880" w:hanging="360"/>
      </w:pPr>
      <w:rPr>
        <w:rFonts w:ascii="Arial" w:hAnsi="Arial" w:hint="default"/>
      </w:rPr>
    </w:lvl>
    <w:lvl w:ilvl="4" w:tplc="B13E43D4" w:tentative="1">
      <w:start w:val="1"/>
      <w:numFmt w:val="bullet"/>
      <w:lvlText w:val="•"/>
      <w:lvlJc w:val="left"/>
      <w:pPr>
        <w:tabs>
          <w:tab w:val="num" w:pos="3600"/>
        </w:tabs>
        <w:ind w:left="3600" w:hanging="360"/>
      </w:pPr>
      <w:rPr>
        <w:rFonts w:ascii="Arial" w:hAnsi="Arial" w:hint="default"/>
      </w:rPr>
    </w:lvl>
    <w:lvl w:ilvl="5" w:tplc="7F706788" w:tentative="1">
      <w:start w:val="1"/>
      <w:numFmt w:val="bullet"/>
      <w:lvlText w:val="•"/>
      <w:lvlJc w:val="left"/>
      <w:pPr>
        <w:tabs>
          <w:tab w:val="num" w:pos="4320"/>
        </w:tabs>
        <w:ind w:left="4320" w:hanging="360"/>
      </w:pPr>
      <w:rPr>
        <w:rFonts w:ascii="Arial" w:hAnsi="Arial" w:hint="default"/>
      </w:rPr>
    </w:lvl>
    <w:lvl w:ilvl="6" w:tplc="65DC1BD6" w:tentative="1">
      <w:start w:val="1"/>
      <w:numFmt w:val="bullet"/>
      <w:lvlText w:val="•"/>
      <w:lvlJc w:val="left"/>
      <w:pPr>
        <w:tabs>
          <w:tab w:val="num" w:pos="5040"/>
        </w:tabs>
        <w:ind w:left="5040" w:hanging="360"/>
      </w:pPr>
      <w:rPr>
        <w:rFonts w:ascii="Arial" w:hAnsi="Arial" w:hint="default"/>
      </w:rPr>
    </w:lvl>
    <w:lvl w:ilvl="7" w:tplc="2AF8F974" w:tentative="1">
      <w:start w:val="1"/>
      <w:numFmt w:val="bullet"/>
      <w:lvlText w:val="•"/>
      <w:lvlJc w:val="left"/>
      <w:pPr>
        <w:tabs>
          <w:tab w:val="num" w:pos="5760"/>
        </w:tabs>
        <w:ind w:left="5760" w:hanging="360"/>
      </w:pPr>
      <w:rPr>
        <w:rFonts w:ascii="Arial" w:hAnsi="Arial" w:hint="default"/>
      </w:rPr>
    </w:lvl>
    <w:lvl w:ilvl="8" w:tplc="926A63D8"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3A7F5DCD"/>
    <w:multiLevelType w:val="hybridMultilevel"/>
    <w:tmpl w:val="A70277EC"/>
    <w:lvl w:ilvl="0" w:tplc="29E490B8">
      <w:start w:val="1"/>
      <w:numFmt w:val="bullet"/>
      <w:lvlText w:val="•"/>
      <w:lvlJc w:val="left"/>
      <w:pPr>
        <w:tabs>
          <w:tab w:val="num" w:pos="720"/>
        </w:tabs>
        <w:ind w:left="720" w:hanging="360"/>
      </w:pPr>
      <w:rPr>
        <w:rFonts w:ascii="Arial" w:hAnsi="Arial" w:hint="default"/>
      </w:rPr>
    </w:lvl>
    <w:lvl w:ilvl="1" w:tplc="589E134C" w:tentative="1">
      <w:start w:val="1"/>
      <w:numFmt w:val="bullet"/>
      <w:lvlText w:val="•"/>
      <w:lvlJc w:val="left"/>
      <w:pPr>
        <w:tabs>
          <w:tab w:val="num" w:pos="1440"/>
        </w:tabs>
        <w:ind w:left="1440" w:hanging="360"/>
      </w:pPr>
      <w:rPr>
        <w:rFonts w:ascii="Arial" w:hAnsi="Arial" w:hint="default"/>
      </w:rPr>
    </w:lvl>
    <w:lvl w:ilvl="2" w:tplc="B0564192" w:tentative="1">
      <w:start w:val="1"/>
      <w:numFmt w:val="bullet"/>
      <w:lvlText w:val="•"/>
      <w:lvlJc w:val="left"/>
      <w:pPr>
        <w:tabs>
          <w:tab w:val="num" w:pos="2160"/>
        </w:tabs>
        <w:ind w:left="2160" w:hanging="360"/>
      </w:pPr>
      <w:rPr>
        <w:rFonts w:ascii="Arial" w:hAnsi="Arial" w:hint="default"/>
      </w:rPr>
    </w:lvl>
    <w:lvl w:ilvl="3" w:tplc="DEC021A8" w:tentative="1">
      <w:start w:val="1"/>
      <w:numFmt w:val="bullet"/>
      <w:lvlText w:val="•"/>
      <w:lvlJc w:val="left"/>
      <w:pPr>
        <w:tabs>
          <w:tab w:val="num" w:pos="2880"/>
        </w:tabs>
        <w:ind w:left="2880" w:hanging="360"/>
      </w:pPr>
      <w:rPr>
        <w:rFonts w:ascii="Arial" w:hAnsi="Arial" w:hint="default"/>
      </w:rPr>
    </w:lvl>
    <w:lvl w:ilvl="4" w:tplc="9C4CB51E" w:tentative="1">
      <w:start w:val="1"/>
      <w:numFmt w:val="bullet"/>
      <w:lvlText w:val="•"/>
      <w:lvlJc w:val="left"/>
      <w:pPr>
        <w:tabs>
          <w:tab w:val="num" w:pos="3600"/>
        </w:tabs>
        <w:ind w:left="3600" w:hanging="360"/>
      </w:pPr>
      <w:rPr>
        <w:rFonts w:ascii="Arial" w:hAnsi="Arial" w:hint="default"/>
      </w:rPr>
    </w:lvl>
    <w:lvl w:ilvl="5" w:tplc="E684ECFA" w:tentative="1">
      <w:start w:val="1"/>
      <w:numFmt w:val="bullet"/>
      <w:lvlText w:val="•"/>
      <w:lvlJc w:val="left"/>
      <w:pPr>
        <w:tabs>
          <w:tab w:val="num" w:pos="4320"/>
        </w:tabs>
        <w:ind w:left="4320" w:hanging="360"/>
      </w:pPr>
      <w:rPr>
        <w:rFonts w:ascii="Arial" w:hAnsi="Arial" w:hint="default"/>
      </w:rPr>
    </w:lvl>
    <w:lvl w:ilvl="6" w:tplc="E7568682" w:tentative="1">
      <w:start w:val="1"/>
      <w:numFmt w:val="bullet"/>
      <w:lvlText w:val="•"/>
      <w:lvlJc w:val="left"/>
      <w:pPr>
        <w:tabs>
          <w:tab w:val="num" w:pos="5040"/>
        </w:tabs>
        <w:ind w:left="5040" w:hanging="360"/>
      </w:pPr>
      <w:rPr>
        <w:rFonts w:ascii="Arial" w:hAnsi="Arial" w:hint="default"/>
      </w:rPr>
    </w:lvl>
    <w:lvl w:ilvl="7" w:tplc="A0E633B2" w:tentative="1">
      <w:start w:val="1"/>
      <w:numFmt w:val="bullet"/>
      <w:lvlText w:val="•"/>
      <w:lvlJc w:val="left"/>
      <w:pPr>
        <w:tabs>
          <w:tab w:val="num" w:pos="5760"/>
        </w:tabs>
        <w:ind w:left="5760" w:hanging="360"/>
      </w:pPr>
      <w:rPr>
        <w:rFonts w:ascii="Arial" w:hAnsi="Arial" w:hint="default"/>
      </w:rPr>
    </w:lvl>
    <w:lvl w:ilvl="8" w:tplc="93186290"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43F66BB8"/>
    <w:multiLevelType w:val="hybridMultilevel"/>
    <w:tmpl w:val="69E4BD88"/>
    <w:lvl w:ilvl="0" w:tplc="0809000D">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Wingdings" w:hAnsi="Wingdings" w:hint="default"/>
      </w:rPr>
    </w:lvl>
    <w:lvl w:ilvl="4" w:tplc="FFFFFFFF" w:tentative="1">
      <w:start w:val="1"/>
      <w:numFmt w:val="bullet"/>
      <w:lvlText w:val=""/>
      <w:lvlJc w:val="left"/>
      <w:pPr>
        <w:tabs>
          <w:tab w:val="num" w:pos="3600"/>
        </w:tabs>
        <w:ind w:left="3600" w:hanging="360"/>
      </w:pPr>
      <w:rPr>
        <w:rFonts w:ascii="Wingdings" w:hAnsi="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Wingdings" w:hAnsi="Wingdings" w:hint="default"/>
      </w:rPr>
    </w:lvl>
    <w:lvl w:ilvl="7" w:tplc="FFFFFFFF" w:tentative="1">
      <w:start w:val="1"/>
      <w:numFmt w:val="bullet"/>
      <w:lvlText w:val=""/>
      <w:lvlJc w:val="left"/>
      <w:pPr>
        <w:tabs>
          <w:tab w:val="num" w:pos="5760"/>
        </w:tabs>
        <w:ind w:left="5760" w:hanging="360"/>
      </w:pPr>
      <w:rPr>
        <w:rFonts w:ascii="Wingdings" w:hAnsi="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43F78A2"/>
    <w:multiLevelType w:val="hybridMultilevel"/>
    <w:tmpl w:val="76A2CA1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4CDF4A64"/>
    <w:multiLevelType w:val="hybridMultilevel"/>
    <w:tmpl w:val="4F8ABBAC"/>
    <w:lvl w:ilvl="0" w:tplc="41B88CEC">
      <w:start w:val="1"/>
      <w:numFmt w:val="bullet"/>
      <w:lvlText w:val="•"/>
      <w:lvlJc w:val="left"/>
      <w:pPr>
        <w:tabs>
          <w:tab w:val="num" w:pos="720"/>
        </w:tabs>
        <w:ind w:left="720" w:hanging="360"/>
      </w:pPr>
      <w:rPr>
        <w:rFonts w:ascii="Arial" w:hAnsi="Arial" w:hint="default"/>
      </w:rPr>
    </w:lvl>
    <w:lvl w:ilvl="1" w:tplc="A0C073D4" w:tentative="1">
      <w:start w:val="1"/>
      <w:numFmt w:val="bullet"/>
      <w:lvlText w:val="•"/>
      <w:lvlJc w:val="left"/>
      <w:pPr>
        <w:tabs>
          <w:tab w:val="num" w:pos="1440"/>
        </w:tabs>
        <w:ind w:left="1440" w:hanging="360"/>
      </w:pPr>
      <w:rPr>
        <w:rFonts w:ascii="Arial" w:hAnsi="Arial" w:hint="default"/>
      </w:rPr>
    </w:lvl>
    <w:lvl w:ilvl="2" w:tplc="093CC222" w:tentative="1">
      <w:start w:val="1"/>
      <w:numFmt w:val="bullet"/>
      <w:lvlText w:val="•"/>
      <w:lvlJc w:val="left"/>
      <w:pPr>
        <w:tabs>
          <w:tab w:val="num" w:pos="2160"/>
        </w:tabs>
        <w:ind w:left="2160" w:hanging="360"/>
      </w:pPr>
      <w:rPr>
        <w:rFonts w:ascii="Arial" w:hAnsi="Arial" w:hint="default"/>
      </w:rPr>
    </w:lvl>
    <w:lvl w:ilvl="3" w:tplc="4D2ADBF6" w:tentative="1">
      <w:start w:val="1"/>
      <w:numFmt w:val="bullet"/>
      <w:lvlText w:val="•"/>
      <w:lvlJc w:val="left"/>
      <w:pPr>
        <w:tabs>
          <w:tab w:val="num" w:pos="2880"/>
        </w:tabs>
        <w:ind w:left="2880" w:hanging="360"/>
      </w:pPr>
      <w:rPr>
        <w:rFonts w:ascii="Arial" w:hAnsi="Arial" w:hint="default"/>
      </w:rPr>
    </w:lvl>
    <w:lvl w:ilvl="4" w:tplc="FD5A154E" w:tentative="1">
      <w:start w:val="1"/>
      <w:numFmt w:val="bullet"/>
      <w:lvlText w:val="•"/>
      <w:lvlJc w:val="left"/>
      <w:pPr>
        <w:tabs>
          <w:tab w:val="num" w:pos="3600"/>
        </w:tabs>
        <w:ind w:left="3600" w:hanging="360"/>
      </w:pPr>
      <w:rPr>
        <w:rFonts w:ascii="Arial" w:hAnsi="Arial" w:hint="default"/>
      </w:rPr>
    </w:lvl>
    <w:lvl w:ilvl="5" w:tplc="A44C7EEE" w:tentative="1">
      <w:start w:val="1"/>
      <w:numFmt w:val="bullet"/>
      <w:lvlText w:val="•"/>
      <w:lvlJc w:val="left"/>
      <w:pPr>
        <w:tabs>
          <w:tab w:val="num" w:pos="4320"/>
        </w:tabs>
        <w:ind w:left="4320" w:hanging="360"/>
      </w:pPr>
      <w:rPr>
        <w:rFonts w:ascii="Arial" w:hAnsi="Arial" w:hint="default"/>
      </w:rPr>
    </w:lvl>
    <w:lvl w:ilvl="6" w:tplc="F022D58E" w:tentative="1">
      <w:start w:val="1"/>
      <w:numFmt w:val="bullet"/>
      <w:lvlText w:val="•"/>
      <w:lvlJc w:val="left"/>
      <w:pPr>
        <w:tabs>
          <w:tab w:val="num" w:pos="5040"/>
        </w:tabs>
        <w:ind w:left="5040" w:hanging="360"/>
      </w:pPr>
      <w:rPr>
        <w:rFonts w:ascii="Arial" w:hAnsi="Arial" w:hint="default"/>
      </w:rPr>
    </w:lvl>
    <w:lvl w:ilvl="7" w:tplc="6186CE92" w:tentative="1">
      <w:start w:val="1"/>
      <w:numFmt w:val="bullet"/>
      <w:lvlText w:val="•"/>
      <w:lvlJc w:val="left"/>
      <w:pPr>
        <w:tabs>
          <w:tab w:val="num" w:pos="5760"/>
        </w:tabs>
        <w:ind w:left="5760" w:hanging="360"/>
      </w:pPr>
      <w:rPr>
        <w:rFonts w:ascii="Arial" w:hAnsi="Arial" w:hint="default"/>
      </w:rPr>
    </w:lvl>
    <w:lvl w:ilvl="8" w:tplc="4F1C74AC"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4CF93EC5"/>
    <w:multiLevelType w:val="hybridMultilevel"/>
    <w:tmpl w:val="BC50BF16"/>
    <w:lvl w:ilvl="0" w:tplc="56209438">
      <w:start w:val="1"/>
      <w:numFmt w:val="bullet"/>
      <w:lvlText w:val=""/>
      <w:lvlJc w:val="left"/>
      <w:pPr>
        <w:tabs>
          <w:tab w:val="num" w:pos="720"/>
        </w:tabs>
        <w:ind w:left="720" w:hanging="360"/>
      </w:pPr>
      <w:rPr>
        <w:rFonts w:ascii="Wingdings" w:hAnsi="Wingdings" w:hint="default"/>
      </w:rPr>
    </w:lvl>
    <w:lvl w:ilvl="1" w:tplc="BF3E63D0" w:tentative="1">
      <w:start w:val="1"/>
      <w:numFmt w:val="bullet"/>
      <w:lvlText w:val=""/>
      <w:lvlJc w:val="left"/>
      <w:pPr>
        <w:tabs>
          <w:tab w:val="num" w:pos="1440"/>
        </w:tabs>
        <w:ind w:left="1440" w:hanging="360"/>
      </w:pPr>
      <w:rPr>
        <w:rFonts w:ascii="Wingdings" w:hAnsi="Wingdings" w:hint="default"/>
      </w:rPr>
    </w:lvl>
    <w:lvl w:ilvl="2" w:tplc="8A50A118" w:tentative="1">
      <w:start w:val="1"/>
      <w:numFmt w:val="bullet"/>
      <w:lvlText w:val=""/>
      <w:lvlJc w:val="left"/>
      <w:pPr>
        <w:tabs>
          <w:tab w:val="num" w:pos="2160"/>
        </w:tabs>
        <w:ind w:left="2160" w:hanging="360"/>
      </w:pPr>
      <w:rPr>
        <w:rFonts w:ascii="Wingdings" w:hAnsi="Wingdings" w:hint="default"/>
      </w:rPr>
    </w:lvl>
    <w:lvl w:ilvl="3" w:tplc="950A418A" w:tentative="1">
      <w:start w:val="1"/>
      <w:numFmt w:val="bullet"/>
      <w:lvlText w:val=""/>
      <w:lvlJc w:val="left"/>
      <w:pPr>
        <w:tabs>
          <w:tab w:val="num" w:pos="2880"/>
        </w:tabs>
        <w:ind w:left="2880" w:hanging="360"/>
      </w:pPr>
      <w:rPr>
        <w:rFonts w:ascii="Wingdings" w:hAnsi="Wingdings" w:hint="default"/>
      </w:rPr>
    </w:lvl>
    <w:lvl w:ilvl="4" w:tplc="B58EB022" w:tentative="1">
      <w:start w:val="1"/>
      <w:numFmt w:val="bullet"/>
      <w:lvlText w:val=""/>
      <w:lvlJc w:val="left"/>
      <w:pPr>
        <w:tabs>
          <w:tab w:val="num" w:pos="3600"/>
        </w:tabs>
        <w:ind w:left="3600" w:hanging="360"/>
      </w:pPr>
      <w:rPr>
        <w:rFonts w:ascii="Wingdings" w:hAnsi="Wingdings" w:hint="default"/>
      </w:rPr>
    </w:lvl>
    <w:lvl w:ilvl="5" w:tplc="A3BA9BD0" w:tentative="1">
      <w:start w:val="1"/>
      <w:numFmt w:val="bullet"/>
      <w:lvlText w:val=""/>
      <w:lvlJc w:val="left"/>
      <w:pPr>
        <w:tabs>
          <w:tab w:val="num" w:pos="4320"/>
        </w:tabs>
        <w:ind w:left="4320" w:hanging="360"/>
      </w:pPr>
      <w:rPr>
        <w:rFonts w:ascii="Wingdings" w:hAnsi="Wingdings" w:hint="default"/>
      </w:rPr>
    </w:lvl>
    <w:lvl w:ilvl="6" w:tplc="EA987A38" w:tentative="1">
      <w:start w:val="1"/>
      <w:numFmt w:val="bullet"/>
      <w:lvlText w:val=""/>
      <w:lvlJc w:val="left"/>
      <w:pPr>
        <w:tabs>
          <w:tab w:val="num" w:pos="5040"/>
        </w:tabs>
        <w:ind w:left="5040" w:hanging="360"/>
      </w:pPr>
      <w:rPr>
        <w:rFonts w:ascii="Wingdings" w:hAnsi="Wingdings" w:hint="default"/>
      </w:rPr>
    </w:lvl>
    <w:lvl w:ilvl="7" w:tplc="53765B9A" w:tentative="1">
      <w:start w:val="1"/>
      <w:numFmt w:val="bullet"/>
      <w:lvlText w:val=""/>
      <w:lvlJc w:val="left"/>
      <w:pPr>
        <w:tabs>
          <w:tab w:val="num" w:pos="5760"/>
        </w:tabs>
        <w:ind w:left="5760" w:hanging="360"/>
      </w:pPr>
      <w:rPr>
        <w:rFonts w:ascii="Wingdings" w:hAnsi="Wingdings" w:hint="default"/>
      </w:rPr>
    </w:lvl>
    <w:lvl w:ilvl="8" w:tplc="C0645970"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5607D03"/>
    <w:multiLevelType w:val="hybridMultilevel"/>
    <w:tmpl w:val="7074870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558C2022"/>
    <w:multiLevelType w:val="hybridMultilevel"/>
    <w:tmpl w:val="E4448B7A"/>
    <w:lvl w:ilvl="0" w:tplc="5EB0F936">
      <w:start w:val="1"/>
      <w:numFmt w:val="bullet"/>
      <w:lvlText w:val="•"/>
      <w:lvlJc w:val="left"/>
      <w:pPr>
        <w:tabs>
          <w:tab w:val="num" w:pos="720"/>
        </w:tabs>
        <w:ind w:left="720" w:hanging="360"/>
      </w:pPr>
      <w:rPr>
        <w:rFonts w:ascii="Arial" w:hAnsi="Arial" w:hint="default"/>
      </w:rPr>
    </w:lvl>
    <w:lvl w:ilvl="1" w:tplc="16BA2B0C" w:tentative="1">
      <w:start w:val="1"/>
      <w:numFmt w:val="bullet"/>
      <w:lvlText w:val="•"/>
      <w:lvlJc w:val="left"/>
      <w:pPr>
        <w:tabs>
          <w:tab w:val="num" w:pos="1440"/>
        </w:tabs>
        <w:ind w:left="1440" w:hanging="360"/>
      </w:pPr>
      <w:rPr>
        <w:rFonts w:ascii="Arial" w:hAnsi="Arial" w:hint="default"/>
      </w:rPr>
    </w:lvl>
    <w:lvl w:ilvl="2" w:tplc="D7E61252" w:tentative="1">
      <w:start w:val="1"/>
      <w:numFmt w:val="bullet"/>
      <w:lvlText w:val="•"/>
      <w:lvlJc w:val="left"/>
      <w:pPr>
        <w:tabs>
          <w:tab w:val="num" w:pos="2160"/>
        </w:tabs>
        <w:ind w:left="2160" w:hanging="360"/>
      </w:pPr>
      <w:rPr>
        <w:rFonts w:ascii="Arial" w:hAnsi="Arial" w:hint="default"/>
      </w:rPr>
    </w:lvl>
    <w:lvl w:ilvl="3" w:tplc="3790F942" w:tentative="1">
      <w:start w:val="1"/>
      <w:numFmt w:val="bullet"/>
      <w:lvlText w:val="•"/>
      <w:lvlJc w:val="left"/>
      <w:pPr>
        <w:tabs>
          <w:tab w:val="num" w:pos="2880"/>
        </w:tabs>
        <w:ind w:left="2880" w:hanging="360"/>
      </w:pPr>
      <w:rPr>
        <w:rFonts w:ascii="Arial" w:hAnsi="Arial" w:hint="default"/>
      </w:rPr>
    </w:lvl>
    <w:lvl w:ilvl="4" w:tplc="F11C5B1E" w:tentative="1">
      <w:start w:val="1"/>
      <w:numFmt w:val="bullet"/>
      <w:lvlText w:val="•"/>
      <w:lvlJc w:val="left"/>
      <w:pPr>
        <w:tabs>
          <w:tab w:val="num" w:pos="3600"/>
        </w:tabs>
        <w:ind w:left="3600" w:hanging="360"/>
      </w:pPr>
      <w:rPr>
        <w:rFonts w:ascii="Arial" w:hAnsi="Arial" w:hint="default"/>
      </w:rPr>
    </w:lvl>
    <w:lvl w:ilvl="5" w:tplc="266A12AA" w:tentative="1">
      <w:start w:val="1"/>
      <w:numFmt w:val="bullet"/>
      <w:lvlText w:val="•"/>
      <w:lvlJc w:val="left"/>
      <w:pPr>
        <w:tabs>
          <w:tab w:val="num" w:pos="4320"/>
        </w:tabs>
        <w:ind w:left="4320" w:hanging="360"/>
      </w:pPr>
      <w:rPr>
        <w:rFonts w:ascii="Arial" w:hAnsi="Arial" w:hint="default"/>
      </w:rPr>
    </w:lvl>
    <w:lvl w:ilvl="6" w:tplc="873EF3E8" w:tentative="1">
      <w:start w:val="1"/>
      <w:numFmt w:val="bullet"/>
      <w:lvlText w:val="•"/>
      <w:lvlJc w:val="left"/>
      <w:pPr>
        <w:tabs>
          <w:tab w:val="num" w:pos="5040"/>
        </w:tabs>
        <w:ind w:left="5040" w:hanging="360"/>
      </w:pPr>
      <w:rPr>
        <w:rFonts w:ascii="Arial" w:hAnsi="Arial" w:hint="default"/>
      </w:rPr>
    </w:lvl>
    <w:lvl w:ilvl="7" w:tplc="CA301BFE" w:tentative="1">
      <w:start w:val="1"/>
      <w:numFmt w:val="bullet"/>
      <w:lvlText w:val="•"/>
      <w:lvlJc w:val="left"/>
      <w:pPr>
        <w:tabs>
          <w:tab w:val="num" w:pos="5760"/>
        </w:tabs>
        <w:ind w:left="5760" w:hanging="360"/>
      </w:pPr>
      <w:rPr>
        <w:rFonts w:ascii="Arial" w:hAnsi="Arial" w:hint="default"/>
      </w:rPr>
    </w:lvl>
    <w:lvl w:ilvl="8" w:tplc="6A166806"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5CB6070C"/>
    <w:multiLevelType w:val="hybridMultilevel"/>
    <w:tmpl w:val="00F0695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6CDF6501"/>
    <w:multiLevelType w:val="hybridMultilevel"/>
    <w:tmpl w:val="32B80C7A"/>
    <w:lvl w:ilvl="0" w:tplc="1CCC02F0">
      <w:start w:val="1"/>
      <w:numFmt w:val="bullet"/>
      <w:lvlText w:val="•"/>
      <w:lvlJc w:val="left"/>
      <w:pPr>
        <w:tabs>
          <w:tab w:val="num" w:pos="720"/>
        </w:tabs>
        <w:ind w:left="720" w:hanging="360"/>
      </w:pPr>
      <w:rPr>
        <w:rFonts w:ascii="Arial" w:hAnsi="Arial" w:hint="default"/>
      </w:rPr>
    </w:lvl>
    <w:lvl w:ilvl="1" w:tplc="321CCFEA" w:tentative="1">
      <w:start w:val="1"/>
      <w:numFmt w:val="bullet"/>
      <w:lvlText w:val="•"/>
      <w:lvlJc w:val="left"/>
      <w:pPr>
        <w:tabs>
          <w:tab w:val="num" w:pos="1440"/>
        </w:tabs>
        <w:ind w:left="1440" w:hanging="360"/>
      </w:pPr>
      <w:rPr>
        <w:rFonts w:ascii="Arial" w:hAnsi="Arial" w:hint="default"/>
      </w:rPr>
    </w:lvl>
    <w:lvl w:ilvl="2" w:tplc="BCC6888E" w:tentative="1">
      <w:start w:val="1"/>
      <w:numFmt w:val="bullet"/>
      <w:lvlText w:val="•"/>
      <w:lvlJc w:val="left"/>
      <w:pPr>
        <w:tabs>
          <w:tab w:val="num" w:pos="2160"/>
        </w:tabs>
        <w:ind w:left="2160" w:hanging="360"/>
      </w:pPr>
      <w:rPr>
        <w:rFonts w:ascii="Arial" w:hAnsi="Arial" w:hint="default"/>
      </w:rPr>
    </w:lvl>
    <w:lvl w:ilvl="3" w:tplc="435C91D0" w:tentative="1">
      <w:start w:val="1"/>
      <w:numFmt w:val="bullet"/>
      <w:lvlText w:val="•"/>
      <w:lvlJc w:val="left"/>
      <w:pPr>
        <w:tabs>
          <w:tab w:val="num" w:pos="2880"/>
        </w:tabs>
        <w:ind w:left="2880" w:hanging="360"/>
      </w:pPr>
      <w:rPr>
        <w:rFonts w:ascii="Arial" w:hAnsi="Arial" w:hint="default"/>
      </w:rPr>
    </w:lvl>
    <w:lvl w:ilvl="4" w:tplc="62AE44B2" w:tentative="1">
      <w:start w:val="1"/>
      <w:numFmt w:val="bullet"/>
      <w:lvlText w:val="•"/>
      <w:lvlJc w:val="left"/>
      <w:pPr>
        <w:tabs>
          <w:tab w:val="num" w:pos="3600"/>
        </w:tabs>
        <w:ind w:left="3600" w:hanging="360"/>
      </w:pPr>
      <w:rPr>
        <w:rFonts w:ascii="Arial" w:hAnsi="Arial" w:hint="default"/>
      </w:rPr>
    </w:lvl>
    <w:lvl w:ilvl="5" w:tplc="AF32B32C" w:tentative="1">
      <w:start w:val="1"/>
      <w:numFmt w:val="bullet"/>
      <w:lvlText w:val="•"/>
      <w:lvlJc w:val="left"/>
      <w:pPr>
        <w:tabs>
          <w:tab w:val="num" w:pos="4320"/>
        </w:tabs>
        <w:ind w:left="4320" w:hanging="360"/>
      </w:pPr>
      <w:rPr>
        <w:rFonts w:ascii="Arial" w:hAnsi="Arial" w:hint="default"/>
      </w:rPr>
    </w:lvl>
    <w:lvl w:ilvl="6" w:tplc="21A6655A" w:tentative="1">
      <w:start w:val="1"/>
      <w:numFmt w:val="bullet"/>
      <w:lvlText w:val="•"/>
      <w:lvlJc w:val="left"/>
      <w:pPr>
        <w:tabs>
          <w:tab w:val="num" w:pos="5040"/>
        </w:tabs>
        <w:ind w:left="5040" w:hanging="360"/>
      </w:pPr>
      <w:rPr>
        <w:rFonts w:ascii="Arial" w:hAnsi="Arial" w:hint="default"/>
      </w:rPr>
    </w:lvl>
    <w:lvl w:ilvl="7" w:tplc="9E824D32" w:tentative="1">
      <w:start w:val="1"/>
      <w:numFmt w:val="bullet"/>
      <w:lvlText w:val="•"/>
      <w:lvlJc w:val="left"/>
      <w:pPr>
        <w:tabs>
          <w:tab w:val="num" w:pos="5760"/>
        </w:tabs>
        <w:ind w:left="5760" w:hanging="360"/>
      </w:pPr>
      <w:rPr>
        <w:rFonts w:ascii="Arial" w:hAnsi="Arial" w:hint="default"/>
      </w:rPr>
    </w:lvl>
    <w:lvl w:ilvl="8" w:tplc="FD868F6E"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78F5129E"/>
    <w:multiLevelType w:val="hybridMultilevel"/>
    <w:tmpl w:val="C22A3C86"/>
    <w:lvl w:ilvl="0" w:tplc="0809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7A2A7A42"/>
    <w:multiLevelType w:val="hybridMultilevel"/>
    <w:tmpl w:val="1B62FA1C"/>
    <w:lvl w:ilvl="0" w:tplc="C7C461C2">
      <w:start w:val="1"/>
      <w:numFmt w:val="bullet"/>
      <w:lvlText w:val="•"/>
      <w:lvlJc w:val="left"/>
      <w:pPr>
        <w:tabs>
          <w:tab w:val="num" w:pos="720"/>
        </w:tabs>
        <w:ind w:left="720" w:hanging="360"/>
      </w:pPr>
      <w:rPr>
        <w:rFonts w:ascii="Arial" w:hAnsi="Arial" w:hint="default"/>
      </w:rPr>
    </w:lvl>
    <w:lvl w:ilvl="1" w:tplc="C4E04416" w:tentative="1">
      <w:start w:val="1"/>
      <w:numFmt w:val="bullet"/>
      <w:lvlText w:val="•"/>
      <w:lvlJc w:val="left"/>
      <w:pPr>
        <w:tabs>
          <w:tab w:val="num" w:pos="1440"/>
        </w:tabs>
        <w:ind w:left="1440" w:hanging="360"/>
      </w:pPr>
      <w:rPr>
        <w:rFonts w:ascii="Arial" w:hAnsi="Arial" w:hint="default"/>
      </w:rPr>
    </w:lvl>
    <w:lvl w:ilvl="2" w:tplc="89BEA0AA" w:tentative="1">
      <w:start w:val="1"/>
      <w:numFmt w:val="bullet"/>
      <w:lvlText w:val="•"/>
      <w:lvlJc w:val="left"/>
      <w:pPr>
        <w:tabs>
          <w:tab w:val="num" w:pos="2160"/>
        </w:tabs>
        <w:ind w:left="2160" w:hanging="360"/>
      </w:pPr>
      <w:rPr>
        <w:rFonts w:ascii="Arial" w:hAnsi="Arial" w:hint="default"/>
      </w:rPr>
    </w:lvl>
    <w:lvl w:ilvl="3" w:tplc="30103610" w:tentative="1">
      <w:start w:val="1"/>
      <w:numFmt w:val="bullet"/>
      <w:lvlText w:val="•"/>
      <w:lvlJc w:val="left"/>
      <w:pPr>
        <w:tabs>
          <w:tab w:val="num" w:pos="2880"/>
        </w:tabs>
        <w:ind w:left="2880" w:hanging="360"/>
      </w:pPr>
      <w:rPr>
        <w:rFonts w:ascii="Arial" w:hAnsi="Arial" w:hint="default"/>
      </w:rPr>
    </w:lvl>
    <w:lvl w:ilvl="4" w:tplc="57526446" w:tentative="1">
      <w:start w:val="1"/>
      <w:numFmt w:val="bullet"/>
      <w:lvlText w:val="•"/>
      <w:lvlJc w:val="left"/>
      <w:pPr>
        <w:tabs>
          <w:tab w:val="num" w:pos="3600"/>
        </w:tabs>
        <w:ind w:left="3600" w:hanging="360"/>
      </w:pPr>
      <w:rPr>
        <w:rFonts w:ascii="Arial" w:hAnsi="Arial" w:hint="default"/>
      </w:rPr>
    </w:lvl>
    <w:lvl w:ilvl="5" w:tplc="3C84FBAC" w:tentative="1">
      <w:start w:val="1"/>
      <w:numFmt w:val="bullet"/>
      <w:lvlText w:val="•"/>
      <w:lvlJc w:val="left"/>
      <w:pPr>
        <w:tabs>
          <w:tab w:val="num" w:pos="4320"/>
        </w:tabs>
        <w:ind w:left="4320" w:hanging="360"/>
      </w:pPr>
      <w:rPr>
        <w:rFonts w:ascii="Arial" w:hAnsi="Arial" w:hint="default"/>
      </w:rPr>
    </w:lvl>
    <w:lvl w:ilvl="6" w:tplc="BEFC393E" w:tentative="1">
      <w:start w:val="1"/>
      <w:numFmt w:val="bullet"/>
      <w:lvlText w:val="•"/>
      <w:lvlJc w:val="left"/>
      <w:pPr>
        <w:tabs>
          <w:tab w:val="num" w:pos="5040"/>
        </w:tabs>
        <w:ind w:left="5040" w:hanging="360"/>
      </w:pPr>
      <w:rPr>
        <w:rFonts w:ascii="Arial" w:hAnsi="Arial" w:hint="default"/>
      </w:rPr>
    </w:lvl>
    <w:lvl w:ilvl="7" w:tplc="75F49E4A" w:tentative="1">
      <w:start w:val="1"/>
      <w:numFmt w:val="bullet"/>
      <w:lvlText w:val="•"/>
      <w:lvlJc w:val="left"/>
      <w:pPr>
        <w:tabs>
          <w:tab w:val="num" w:pos="5760"/>
        </w:tabs>
        <w:ind w:left="5760" w:hanging="360"/>
      </w:pPr>
      <w:rPr>
        <w:rFonts w:ascii="Arial" w:hAnsi="Arial" w:hint="default"/>
      </w:rPr>
    </w:lvl>
    <w:lvl w:ilvl="8" w:tplc="21E0DAE2" w:tentative="1">
      <w:start w:val="1"/>
      <w:numFmt w:val="bullet"/>
      <w:lvlText w:val="•"/>
      <w:lvlJc w:val="left"/>
      <w:pPr>
        <w:tabs>
          <w:tab w:val="num" w:pos="6480"/>
        </w:tabs>
        <w:ind w:left="6480" w:hanging="360"/>
      </w:pPr>
      <w:rPr>
        <w:rFonts w:ascii="Arial" w:hAnsi="Arial" w:hint="default"/>
      </w:rPr>
    </w:lvl>
  </w:abstractNum>
  <w:num w:numId="1">
    <w:abstractNumId w:val="6"/>
  </w:num>
  <w:num w:numId="2">
    <w:abstractNumId w:val="13"/>
  </w:num>
  <w:num w:numId="3">
    <w:abstractNumId w:val="10"/>
  </w:num>
  <w:num w:numId="4">
    <w:abstractNumId w:val="8"/>
  </w:num>
  <w:num w:numId="5">
    <w:abstractNumId w:val="19"/>
  </w:num>
  <w:num w:numId="6">
    <w:abstractNumId w:val="0"/>
  </w:num>
  <w:num w:numId="7">
    <w:abstractNumId w:val="1"/>
  </w:num>
  <w:num w:numId="8">
    <w:abstractNumId w:val="17"/>
  </w:num>
  <w:num w:numId="9">
    <w:abstractNumId w:val="15"/>
  </w:num>
  <w:num w:numId="10">
    <w:abstractNumId w:val="7"/>
  </w:num>
  <w:num w:numId="11">
    <w:abstractNumId w:val="12"/>
  </w:num>
  <w:num w:numId="12">
    <w:abstractNumId w:val="9"/>
  </w:num>
  <w:num w:numId="13">
    <w:abstractNumId w:val="3"/>
  </w:num>
  <w:num w:numId="14">
    <w:abstractNumId w:val="18"/>
  </w:num>
  <w:num w:numId="15">
    <w:abstractNumId w:val="14"/>
  </w:num>
  <w:num w:numId="16">
    <w:abstractNumId w:val="2"/>
  </w:num>
  <w:num w:numId="17">
    <w:abstractNumId w:val="16"/>
  </w:num>
  <w:num w:numId="18">
    <w:abstractNumId w:val="11"/>
  </w:num>
  <w:num w:numId="19">
    <w:abstractNumId w:val="4"/>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377B"/>
    <w:rsid w:val="00056D14"/>
    <w:rsid w:val="000600E0"/>
    <w:rsid w:val="00084D88"/>
    <w:rsid w:val="001249A3"/>
    <w:rsid w:val="00174435"/>
    <w:rsid w:val="001A2C8D"/>
    <w:rsid w:val="001D2CC1"/>
    <w:rsid w:val="001D5DB7"/>
    <w:rsid w:val="001E2400"/>
    <w:rsid w:val="0025181C"/>
    <w:rsid w:val="002519ED"/>
    <w:rsid w:val="002535C5"/>
    <w:rsid w:val="0025455B"/>
    <w:rsid w:val="002A6EDB"/>
    <w:rsid w:val="002A738A"/>
    <w:rsid w:val="002C2350"/>
    <w:rsid w:val="002E6080"/>
    <w:rsid w:val="0033777A"/>
    <w:rsid w:val="003432A0"/>
    <w:rsid w:val="00353399"/>
    <w:rsid w:val="00372444"/>
    <w:rsid w:val="00391237"/>
    <w:rsid w:val="003A38F4"/>
    <w:rsid w:val="0040335A"/>
    <w:rsid w:val="004B0727"/>
    <w:rsid w:val="005023E7"/>
    <w:rsid w:val="00503D36"/>
    <w:rsid w:val="00512053"/>
    <w:rsid w:val="005453AF"/>
    <w:rsid w:val="005529CB"/>
    <w:rsid w:val="005B24EF"/>
    <w:rsid w:val="0060130C"/>
    <w:rsid w:val="00601DD8"/>
    <w:rsid w:val="00605A2A"/>
    <w:rsid w:val="006B20E9"/>
    <w:rsid w:val="006D638F"/>
    <w:rsid w:val="0072457F"/>
    <w:rsid w:val="00735249"/>
    <w:rsid w:val="00771620"/>
    <w:rsid w:val="007927D5"/>
    <w:rsid w:val="007B7F90"/>
    <w:rsid w:val="007C3FD4"/>
    <w:rsid w:val="007D2C81"/>
    <w:rsid w:val="007F01E3"/>
    <w:rsid w:val="00820C50"/>
    <w:rsid w:val="008F0A8C"/>
    <w:rsid w:val="00935428"/>
    <w:rsid w:val="00944D25"/>
    <w:rsid w:val="00972E57"/>
    <w:rsid w:val="009B6926"/>
    <w:rsid w:val="009E6E04"/>
    <w:rsid w:val="00A36830"/>
    <w:rsid w:val="00A57508"/>
    <w:rsid w:val="00A839F6"/>
    <w:rsid w:val="00B3115E"/>
    <w:rsid w:val="00BA0597"/>
    <w:rsid w:val="00BA6DA3"/>
    <w:rsid w:val="00BF042F"/>
    <w:rsid w:val="00C07832"/>
    <w:rsid w:val="00C42E3E"/>
    <w:rsid w:val="00C47803"/>
    <w:rsid w:val="00C51B0B"/>
    <w:rsid w:val="00C62B52"/>
    <w:rsid w:val="00C704BF"/>
    <w:rsid w:val="00CD3D8A"/>
    <w:rsid w:val="00CF52FE"/>
    <w:rsid w:val="00D26410"/>
    <w:rsid w:val="00D92E0D"/>
    <w:rsid w:val="00E0377D"/>
    <w:rsid w:val="00E1637A"/>
    <w:rsid w:val="00E47243"/>
    <w:rsid w:val="00E50D97"/>
    <w:rsid w:val="00E618FF"/>
    <w:rsid w:val="00E678B6"/>
    <w:rsid w:val="00E7377B"/>
    <w:rsid w:val="00E75061"/>
    <w:rsid w:val="00E95FFA"/>
    <w:rsid w:val="00EA7783"/>
    <w:rsid w:val="00F455C8"/>
    <w:rsid w:val="00F82510"/>
    <w:rsid w:val="00FA5870"/>
    <w:rsid w:val="00FC49C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FC0FC0"/>
  <w15:chartTrackingRefBased/>
  <w15:docId w15:val="{93DFA9BB-02B0-423F-8427-0A9A9D8A1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Гл точки,текст Върбица,List Paragraph1,Paragraph,Paragraphe de liste PBLH,Normal bullet 2,Bullet list,Figure_name,Equipment,Numbered Indented Text,lp1,List Paragraph11,List Paragraph Char Char Char,List Paragraph Char Char,Citation List"/>
    <w:basedOn w:val="Normal"/>
    <w:link w:val="ListParagraphChar"/>
    <w:uiPriority w:val="34"/>
    <w:qFormat/>
    <w:rsid w:val="00E7377B"/>
    <w:pPr>
      <w:ind w:left="720"/>
      <w:contextualSpacing/>
    </w:pPr>
  </w:style>
  <w:style w:type="paragraph" w:styleId="Header">
    <w:name w:val="header"/>
    <w:basedOn w:val="Normal"/>
    <w:link w:val="HeaderChar"/>
    <w:uiPriority w:val="99"/>
    <w:unhideWhenUsed/>
    <w:rsid w:val="00CF52FE"/>
    <w:pPr>
      <w:tabs>
        <w:tab w:val="center" w:pos="4536"/>
        <w:tab w:val="right" w:pos="9072"/>
      </w:tabs>
      <w:spacing w:after="0" w:line="240" w:lineRule="auto"/>
    </w:pPr>
  </w:style>
  <w:style w:type="character" w:customStyle="1" w:styleId="HeaderChar">
    <w:name w:val="Header Char"/>
    <w:basedOn w:val="DefaultParagraphFont"/>
    <w:link w:val="Header"/>
    <w:uiPriority w:val="99"/>
    <w:rsid w:val="00CF52FE"/>
    <w:rPr>
      <w:lang w:val="bg-BG"/>
    </w:rPr>
  </w:style>
  <w:style w:type="paragraph" w:styleId="Footer">
    <w:name w:val="footer"/>
    <w:basedOn w:val="Normal"/>
    <w:link w:val="FooterChar"/>
    <w:uiPriority w:val="99"/>
    <w:unhideWhenUsed/>
    <w:rsid w:val="00CF52FE"/>
    <w:pPr>
      <w:tabs>
        <w:tab w:val="center" w:pos="4536"/>
        <w:tab w:val="right" w:pos="9072"/>
      </w:tabs>
      <w:spacing w:after="0" w:line="240" w:lineRule="auto"/>
    </w:pPr>
  </w:style>
  <w:style w:type="character" w:customStyle="1" w:styleId="FooterChar">
    <w:name w:val="Footer Char"/>
    <w:basedOn w:val="DefaultParagraphFont"/>
    <w:link w:val="Footer"/>
    <w:uiPriority w:val="99"/>
    <w:rsid w:val="00CF52FE"/>
    <w:rPr>
      <w:lang w:val="bg-BG"/>
    </w:rPr>
  </w:style>
  <w:style w:type="table" w:styleId="TableGrid">
    <w:name w:val="Table Grid"/>
    <w:basedOn w:val="TableNormal"/>
    <w:uiPriority w:val="59"/>
    <w:rsid w:val="005120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Гл точки Char,текст Върбица Char,List Paragraph1 Char,Paragraph Char,Paragraphe de liste PBLH Char,Normal bullet 2 Char,Bullet list Char,Figure_name Char,Equipment Char,Numbered Indented Text Char,lp1 Char,List Paragraph11 Char"/>
    <w:link w:val="ListParagraph"/>
    <w:uiPriority w:val="34"/>
    <w:qFormat/>
    <w:rsid w:val="00512053"/>
    <w:rPr>
      <w:lang w:val="bg-BG"/>
    </w:rPr>
  </w:style>
  <w:style w:type="paragraph" w:styleId="FootnoteText">
    <w:name w:val="footnote text"/>
    <w:basedOn w:val="Normal"/>
    <w:link w:val="FootnoteTextChar"/>
    <w:uiPriority w:val="99"/>
    <w:semiHidden/>
    <w:unhideWhenUsed/>
    <w:rsid w:val="0051205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12053"/>
    <w:rPr>
      <w:sz w:val="20"/>
      <w:szCs w:val="20"/>
      <w:lang w:val="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basedOn w:val="DefaultParagraphFont"/>
    <w:unhideWhenUsed/>
    <w:qFormat/>
    <w:rsid w:val="00512053"/>
    <w:rPr>
      <w:vertAlign w:val="superscript"/>
    </w:rPr>
  </w:style>
  <w:style w:type="character" w:styleId="CommentReference">
    <w:name w:val="annotation reference"/>
    <w:basedOn w:val="DefaultParagraphFont"/>
    <w:uiPriority w:val="99"/>
    <w:semiHidden/>
    <w:unhideWhenUsed/>
    <w:rsid w:val="00E618FF"/>
    <w:rPr>
      <w:sz w:val="16"/>
      <w:szCs w:val="16"/>
    </w:rPr>
  </w:style>
  <w:style w:type="paragraph" w:styleId="CommentText">
    <w:name w:val="annotation text"/>
    <w:basedOn w:val="Normal"/>
    <w:link w:val="CommentTextChar"/>
    <w:uiPriority w:val="99"/>
    <w:semiHidden/>
    <w:unhideWhenUsed/>
    <w:rsid w:val="00E618FF"/>
    <w:pPr>
      <w:spacing w:line="240" w:lineRule="auto"/>
    </w:pPr>
    <w:rPr>
      <w:sz w:val="20"/>
      <w:szCs w:val="20"/>
    </w:rPr>
  </w:style>
  <w:style w:type="character" w:customStyle="1" w:styleId="CommentTextChar">
    <w:name w:val="Comment Text Char"/>
    <w:basedOn w:val="DefaultParagraphFont"/>
    <w:link w:val="CommentText"/>
    <w:uiPriority w:val="99"/>
    <w:semiHidden/>
    <w:rsid w:val="00E618FF"/>
    <w:rPr>
      <w:sz w:val="20"/>
      <w:szCs w:val="20"/>
      <w:lang w:val="bg-BG"/>
    </w:rPr>
  </w:style>
  <w:style w:type="paragraph" w:styleId="CommentSubject">
    <w:name w:val="annotation subject"/>
    <w:basedOn w:val="CommentText"/>
    <w:next w:val="CommentText"/>
    <w:link w:val="CommentSubjectChar"/>
    <w:uiPriority w:val="99"/>
    <w:semiHidden/>
    <w:unhideWhenUsed/>
    <w:rsid w:val="00E618FF"/>
    <w:rPr>
      <w:b/>
      <w:bCs/>
    </w:rPr>
  </w:style>
  <w:style w:type="character" w:customStyle="1" w:styleId="CommentSubjectChar">
    <w:name w:val="Comment Subject Char"/>
    <w:basedOn w:val="CommentTextChar"/>
    <w:link w:val="CommentSubject"/>
    <w:uiPriority w:val="99"/>
    <w:semiHidden/>
    <w:rsid w:val="00E618FF"/>
    <w:rPr>
      <w:b/>
      <w:bCs/>
      <w:sz w:val="20"/>
      <w:szCs w:val="20"/>
      <w:lang w:val="bg-BG"/>
    </w:rPr>
  </w:style>
  <w:style w:type="paragraph" w:styleId="BalloonText">
    <w:name w:val="Balloon Text"/>
    <w:basedOn w:val="Normal"/>
    <w:link w:val="BalloonTextChar"/>
    <w:uiPriority w:val="99"/>
    <w:semiHidden/>
    <w:unhideWhenUsed/>
    <w:rsid w:val="00E618F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618FF"/>
    <w:rPr>
      <w:rFonts w:ascii="Segoe UI" w:hAnsi="Segoe UI" w:cs="Segoe UI"/>
      <w:sz w:val="18"/>
      <w:szCs w:val="18"/>
      <w:lang w:val="bg-BG"/>
    </w:rPr>
  </w:style>
  <w:style w:type="paragraph" w:styleId="Revision">
    <w:name w:val="Revision"/>
    <w:hidden/>
    <w:uiPriority w:val="99"/>
    <w:semiHidden/>
    <w:rsid w:val="00605A2A"/>
    <w:pPr>
      <w:spacing w:after="0" w:line="240" w:lineRule="auto"/>
    </w:pPr>
    <w:rPr>
      <w:lang w:val="bg-BG"/>
    </w:rPr>
  </w:style>
  <w:style w:type="numbering" w:customStyle="1" w:styleId="NoList1">
    <w:name w:val="No List1"/>
    <w:next w:val="NoList"/>
    <w:uiPriority w:val="99"/>
    <w:semiHidden/>
    <w:unhideWhenUsed/>
    <w:rsid w:val="002A6EDB"/>
  </w:style>
  <w:style w:type="table" w:customStyle="1" w:styleId="TableGrid1">
    <w:name w:val="Table Grid1"/>
    <w:basedOn w:val="TableNormal"/>
    <w:next w:val="TableGrid"/>
    <w:uiPriority w:val="59"/>
    <w:rsid w:val="002A6E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2A6EDB"/>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oj-doc-ti">
    <w:name w:val="oj-doc-ti"/>
    <w:basedOn w:val="Normal"/>
    <w:rsid w:val="002A6EDB"/>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oj-normal">
    <w:name w:val="oj-normal"/>
    <w:basedOn w:val="Normal"/>
    <w:rsid w:val="002A6EDB"/>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styleId="Hyperlink">
    <w:name w:val="Hyperlink"/>
    <w:basedOn w:val="DefaultParagraphFont"/>
    <w:uiPriority w:val="99"/>
    <w:unhideWhenUsed/>
    <w:rsid w:val="002A6EDB"/>
    <w:rPr>
      <w:color w:val="0000FF"/>
      <w:u w:val="single"/>
    </w:rPr>
  </w:style>
  <w:style w:type="character" w:styleId="FollowedHyperlink">
    <w:name w:val="FollowedHyperlink"/>
    <w:basedOn w:val="DefaultParagraphFont"/>
    <w:uiPriority w:val="99"/>
    <w:semiHidden/>
    <w:unhideWhenUsed/>
    <w:rsid w:val="002A6EDB"/>
    <w:rPr>
      <w:color w:val="800080"/>
      <w:u w:val="single"/>
    </w:rPr>
  </w:style>
  <w:style w:type="character" w:customStyle="1" w:styleId="oj-super">
    <w:name w:val="oj-super"/>
    <w:basedOn w:val="DefaultParagraphFont"/>
    <w:rsid w:val="002A6EDB"/>
  </w:style>
  <w:style w:type="character" w:customStyle="1" w:styleId="oj-italic">
    <w:name w:val="oj-italic"/>
    <w:basedOn w:val="DefaultParagraphFont"/>
    <w:rsid w:val="002A6EDB"/>
  </w:style>
  <w:style w:type="paragraph" w:customStyle="1" w:styleId="oj-ti-section-1">
    <w:name w:val="oj-ti-section-1"/>
    <w:basedOn w:val="Normal"/>
    <w:rsid w:val="002A6EDB"/>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oj-ti-section-2">
    <w:name w:val="oj-ti-section-2"/>
    <w:basedOn w:val="Normal"/>
    <w:rsid w:val="002A6EDB"/>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oj-ti-art">
    <w:name w:val="oj-ti-art"/>
    <w:basedOn w:val="Normal"/>
    <w:rsid w:val="002A6EDB"/>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oj-sti-art">
    <w:name w:val="oj-sti-art"/>
    <w:basedOn w:val="Normal"/>
    <w:rsid w:val="002A6EDB"/>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oj-signatory">
    <w:name w:val="oj-signatory"/>
    <w:basedOn w:val="Normal"/>
    <w:rsid w:val="002A6EDB"/>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oj-note">
    <w:name w:val="oj-note"/>
    <w:basedOn w:val="Normal"/>
    <w:rsid w:val="002A6EDB"/>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oj-sub">
    <w:name w:val="oj-sub"/>
    <w:basedOn w:val="DefaultParagraphFont"/>
    <w:rsid w:val="002A6EDB"/>
  </w:style>
  <w:style w:type="character" w:customStyle="1" w:styleId="oj-bold">
    <w:name w:val="oj-bold"/>
    <w:basedOn w:val="DefaultParagraphFont"/>
    <w:rsid w:val="002A6EDB"/>
  </w:style>
  <w:style w:type="paragraph" w:customStyle="1" w:styleId="oj-separator">
    <w:name w:val="oj-separator"/>
    <w:basedOn w:val="Normal"/>
    <w:rsid w:val="002A6EDB"/>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oj-tbl-hdr">
    <w:name w:val="oj-tbl-hdr"/>
    <w:basedOn w:val="Normal"/>
    <w:rsid w:val="002A6EDB"/>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oj-tbl-txt">
    <w:name w:val="oj-tbl-txt"/>
    <w:basedOn w:val="Normal"/>
    <w:rsid w:val="002A6EDB"/>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oj-tbl-num">
    <w:name w:val="oj-tbl-num"/>
    <w:basedOn w:val="Normal"/>
    <w:rsid w:val="002A6EDB"/>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oj-ti-grseq-1">
    <w:name w:val="oj-ti-grseq-1"/>
    <w:basedOn w:val="Normal"/>
    <w:rsid w:val="002A6EDB"/>
    <w:pPr>
      <w:spacing w:before="100" w:beforeAutospacing="1" w:after="100" w:afterAutospacing="1" w:line="240" w:lineRule="auto"/>
    </w:pPr>
    <w:rPr>
      <w:rFonts w:ascii="Times New Roman" w:eastAsia="Times New Roman" w:hAnsi="Times New Roman" w:cs="Times New Roman"/>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49715">
      <w:bodyDiv w:val="1"/>
      <w:marLeft w:val="0"/>
      <w:marRight w:val="0"/>
      <w:marTop w:val="0"/>
      <w:marBottom w:val="0"/>
      <w:divBdr>
        <w:top w:val="none" w:sz="0" w:space="0" w:color="auto"/>
        <w:left w:val="none" w:sz="0" w:space="0" w:color="auto"/>
        <w:bottom w:val="none" w:sz="0" w:space="0" w:color="auto"/>
        <w:right w:val="none" w:sz="0" w:space="0" w:color="auto"/>
      </w:divBdr>
      <w:divsChild>
        <w:div w:id="687290728">
          <w:marLeft w:val="360"/>
          <w:marRight w:val="0"/>
          <w:marTop w:val="0"/>
          <w:marBottom w:val="160"/>
          <w:divBdr>
            <w:top w:val="none" w:sz="0" w:space="0" w:color="auto"/>
            <w:left w:val="none" w:sz="0" w:space="0" w:color="auto"/>
            <w:bottom w:val="none" w:sz="0" w:space="0" w:color="auto"/>
            <w:right w:val="none" w:sz="0" w:space="0" w:color="auto"/>
          </w:divBdr>
        </w:div>
        <w:div w:id="248662785">
          <w:marLeft w:val="360"/>
          <w:marRight w:val="0"/>
          <w:marTop w:val="0"/>
          <w:marBottom w:val="160"/>
          <w:divBdr>
            <w:top w:val="none" w:sz="0" w:space="0" w:color="auto"/>
            <w:left w:val="none" w:sz="0" w:space="0" w:color="auto"/>
            <w:bottom w:val="none" w:sz="0" w:space="0" w:color="auto"/>
            <w:right w:val="none" w:sz="0" w:space="0" w:color="auto"/>
          </w:divBdr>
        </w:div>
      </w:divsChild>
    </w:div>
    <w:div w:id="152766515">
      <w:bodyDiv w:val="1"/>
      <w:marLeft w:val="0"/>
      <w:marRight w:val="0"/>
      <w:marTop w:val="0"/>
      <w:marBottom w:val="0"/>
      <w:divBdr>
        <w:top w:val="none" w:sz="0" w:space="0" w:color="auto"/>
        <w:left w:val="none" w:sz="0" w:space="0" w:color="auto"/>
        <w:bottom w:val="none" w:sz="0" w:space="0" w:color="auto"/>
        <w:right w:val="none" w:sz="0" w:space="0" w:color="auto"/>
      </w:divBdr>
      <w:divsChild>
        <w:div w:id="1517378110">
          <w:marLeft w:val="446"/>
          <w:marRight w:val="0"/>
          <w:marTop w:val="0"/>
          <w:marBottom w:val="0"/>
          <w:divBdr>
            <w:top w:val="none" w:sz="0" w:space="0" w:color="auto"/>
            <w:left w:val="none" w:sz="0" w:space="0" w:color="auto"/>
            <w:bottom w:val="none" w:sz="0" w:space="0" w:color="auto"/>
            <w:right w:val="none" w:sz="0" w:space="0" w:color="auto"/>
          </w:divBdr>
        </w:div>
        <w:div w:id="738330038">
          <w:marLeft w:val="446"/>
          <w:marRight w:val="0"/>
          <w:marTop w:val="0"/>
          <w:marBottom w:val="0"/>
          <w:divBdr>
            <w:top w:val="none" w:sz="0" w:space="0" w:color="auto"/>
            <w:left w:val="none" w:sz="0" w:space="0" w:color="auto"/>
            <w:bottom w:val="none" w:sz="0" w:space="0" w:color="auto"/>
            <w:right w:val="none" w:sz="0" w:space="0" w:color="auto"/>
          </w:divBdr>
        </w:div>
        <w:div w:id="1693190097">
          <w:marLeft w:val="446"/>
          <w:marRight w:val="0"/>
          <w:marTop w:val="0"/>
          <w:marBottom w:val="0"/>
          <w:divBdr>
            <w:top w:val="none" w:sz="0" w:space="0" w:color="auto"/>
            <w:left w:val="none" w:sz="0" w:space="0" w:color="auto"/>
            <w:bottom w:val="none" w:sz="0" w:space="0" w:color="auto"/>
            <w:right w:val="none" w:sz="0" w:space="0" w:color="auto"/>
          </w:divBdr>
        </w:div>
        <w:div w:id="1842816842">
          <w:marLeft w:val="446"/>
          <w:marRight w:val="0"/>
          <w:marTop w:val="0"/>
          <w:marBottom w:val="0"/>
          <w:divBdr>
            <w:top w:val="none" w:sz="0" w:space="0" w:color="auto"/>
            <w:left w:val="none" w:sz="0" w:space="0" w:color="auto"/>
            <w:bottom w:val="none" w:sz="0" w:space="0" w:color="auto"/>
            <w:right w:val="none" w:sz="0" w:space="0" w:color="auto"/>
          </w:divBdr>
        </w:div>
        <w:div w:id="1123377796">
          <w:marLeft w:val="446"/>
          <w:marRight w:val="0"/>
          <w:marTop w:val="0"/>
          <w:marBottom w:val="0"/>
          <w:divBdr>
            <w:top w:val="none" w:sz="0" w:space="0" w:color="auto"/>
            <w:left w:val="none" w:sz="0" w:space="0" w:color="auto"/>
            <w:bottom w:val="none" w:sz="0" w:space="0" w:color="auto"/>
            <w:right w:val="none" w:sz="0" w:space="0" w:color="auto"/>
          </w:divBdr>
        </w:div>
        <w:div w:id="217016444">
          <w:marLeft w:val="446"/>
          <w:marRight w:val="0"/>
          <w:marTop w:val="0"/>
          <w:marBottom w:val="0"/>
          <w:divBdr>
            <w:top w:val="none" w:sz="0" w:space="0" w:color="auto"/>
            <w:left w:val="none" w:sz="0" w:space="0" w:color="auto"/>
            <w:bottom w:val="none" w:sz="0" w:space="0" w:color="auto"/>
            <w:right w:val="none" w:sz="0" w:space="0" w:color="auto"/>
          </w:divBdr>
        </w:div>
      </w:divsChild>
    </w:div>
    <w:div w:id="329409152">
      <w:bodyDiv w:val="1"/>
      <w:marLeft w:val="0"/>
      <w:marRight w:val="0"/>
      <w:marTop w:val="0"/>
      <w:marBottom w:val="0"/>
      <w:divBdr>
        <w:top w:val="none" w:sz="0" w:space="0" w:color="auto"/>
        <w:left w:val="none" w:sz="0" w:space="0" w:color="auto"/>
        <w:bottom w:val="none" w:sz="0" w:space="0" w:color="auto"/>
        <w:right w:val="none" w:sz="0" w:space="0" w:color="auto"/>
      </w:divBdr>
      <w:divsChild>
        <w:div w:id="1706632596">
          <w:marLeft w:val="360"/>
          <w:marRight w:val="0"/>
          <w:marTop w:val="0"/>
          <w:marBottom w:val="160"/>
          <w:divBdr>
            <w:top w:val="none" w:sz="0" w:space="0" w:color="auto"/>
            <w:left w:val="none" w:sz="0" w:space="0" w:color="auto"/>
            <w:bottom w:val="none" w:sz="0" w:space="0" w:color="auto"/>
            <w:right w:val="none" w:sz="0" w:space="0" w:color="auto"/>
          </w:divBdr>
        </w:div>
        <w:div w:id="571936326">
          <w:marLeft w:val="360"/>
          <w:marRight w:val="0"/>
          <w:marTop w:val="0"/>
          <w:marBottom w:val="160"/>
          <w:divBdr>
            <w:top w:val="none" w:sz="0" w:space="0" w:color="auto"/>
            <w:left w:val="none" w:sz="0" w:space="0" w:color="auto"/>
            <w:bottom w:val="none" w:sz="0" w:space="0" w:color="auto"/>
            <w:right w:val="none" w:sz="0" w:space="0" w:color="auto"/>
          </w:divBdr>
        </w:div>
      </w:divsChild>
    </w:div>
    <w:div w:id="484396123">
      <w:bodyDiv w:val="1"/>
      <w:marLeft w:val="0"/>
      <w:marRight w:val="0"/>
      <w:marTop w:val="0"/>
      <w:marBottom w:val="0"/>
      <w:divBdr>
        <w:top w:val="none" w:sz="0" w:space="0" w:color="auto"/>
        <w:left w:val="none" w:sz="0" w:space="0" w:color="auto"/>
        <w:bottom w:val="none" w:sz="0" w:space="0" w:color="auto"/>
        <w:right w:val="none" w:sz="0" w:space="0" w:color="auto"/>
      </w:divBdr>
      <w:divsChild>
        <w:div w:id="1048260242">
          <w:marLeft w:val="360"/>
          <w:marRight w:val="0"/>
          <w:marTop w:val="0"/>
          <w:marBottom w:val="160"/>
          <w:divBdr>
            <w:top w:val="none" w:sz="0" w:space="0" w:color="auto"/>
            <w:left w:val="none" w:sz="0" w:space="0" w:color="auto"/>
            <w:bottom w:val="none" w:sz="0" w:space="0" w:color="auto"/>
            <w:right w:val="none" w:sz="0" w:space="0" w:color="auto"/>
          </w:divBdr>
        </w:div>
      </w:divsChild>
    </w:div>
    <w:div w:id="484711195">
      <w:bodyDiv w:val="1"/>
      <w:marLeft w:val="0"/>
      <w:marRight w:val="0"/>
      <w:marTop w:val="0"/>
      <w:marBottom w:val="0"/>
      <w:divBdr>
        <w:top w:val="none" w:sz="0" w:space="0" w:color="auto"/>
        <w:left w:val="none" w:sz="0" w:space="0" w:color="auto"/>
        <w:bottom w:val="none" w:sz="0" w:space="0" w:color="auto"/>
        <w:right w:val="none" w:sz="0" w:space="0" w:color="auto"/>
      </w:divBdr>
    </w:div>
    <w:div w:id="542134890">
      <w:bodyDiv w:val="1"/>
      <w:marLeft w:val="0"/>
      <w:marRight w:val="0"/>
      <w:marTop w:val="0"/>
      <w:marBottom w:val="0"/>
      <w:divBdr>
        <w:top w:val="none" w:sz="0" w:space="0" w:color="auto"/>
        <w:left w:val="none" w:sz="0" w:space="0" w:color="auto"/>
        <w:bottom w:val="none" w:sz="0" w:space="0" w:color="auto"/>
        <w:right w:val="none" w:sz="0" w:space="0" w:color="auto"/>
      </w:divBdr>
      <w:divsChild>
        <w:div w:id="1466924562">
          <w:marLeft w:val="360"/>
          <w:marRight w:val="0"/>
          <w:marTop w:val="0"/>
          <w:marBottom w:val="160"/>
          <w:divBdr>
            <w:top w:val="none" w:sz="0" w:space="0" w:color="auto"/>
            <w:left w:val="none" w:sz="0" w:space="0" w:color="auto"/>
            <w:bottom w:val="none" w:sz="0" w:space="0" w:color="auto"/>
            <w:right w:val="none" w:sz="0" w:space="0" w:color="auto"/>
          </w:divBdr>
        </w:div>
      </w:divsChild>
    </w:div>
    <w:div w:id="556598473">
      <w:bodyDiv w:val="1"/>
      <w:marLeft w:val="0"/>
      <w:marRight w:val="0"/>
      <w:marTop w:val="0"/>
      <w:marBottom w:val="0"/>
      <w:divBdr>
        <w:top w:val="none" w:sz="0" w:space="0" w:color="auto"/>
        <w:left w:val="none" w:sz="0" w:space="0" w:color="auto"/>
        <w:bottom w:val="none" w:sz="0" w:space="0" w:color="auto"/>
        <w:right w:val="none" w:sz="0" w:space="0" w:color="auto"/>
      </w:divBdr>
      <w:divsChild>
        <w:div w:id="397018398">
          <w:marLeft w:val="360"/>
          <w:marRight w:val="0"/>
          <w:marTop w:val="0"/>
          <w:marBottom w:val="160"/>
          <w:divBdr>
            <w:top w:val="none" w:sz="0" w:space="0" w:color="auto"/>
            <w:left w:val="none" w:sz="0" w:space="0" w:color="auto"/>
            <w:bottom w:val="none" w:sz="0" w:space="0" w:color="auto"/>
            <w:right w:val="none" w:sz="0" w:space="0" w:color="auto"/>
          </w:divBdr>
        </w:div>
        <w:div w:id="2068185796">
          <w:marLeft w:val="360"/>
          <w:marRight w:val="0"/>
          <w:marTop w:val="0"/>
          <w:marBottom w:val="160"/>
          <w:divBdr>
            <w:top w:val="none" w:sz="0" w:space="0" w:color="auto"/>
            <w:left w:val="none" w:sz="0" w:space="0" w:color="auto"/>
            <w:bottom w:val="none" w:sz="0" w:space="0" w:color="auto"/>
            <w:right w:val="none" w:sz="0" w:space="0" w:color="auto"/>
          </w:divBdr>
        </w:div>
        <w:div w:id="821889232">
          <w:marLeft w:val="360"/>
          <w:marRight w:val="0"/>
          <w:marTop w:val="0"/>
          <w:marBottom w:val="160"/>
          <w:divBdr>
            <w:top w:val="none" w:sz="0" w:space="0" w:color="auto"/>
            <w:left w:val="none" w:sz="0" w:space="0" w:color="auto"/>
            <w:bottom w:val="none" w:sz="0" w:space="0" w:color="auto"/>
            <w:right w:val="none" w:sz="0" w:space="0" w:color="auto"/>
          </w:divBdr>
        </w:div>
      </w:divsChild>
    </w:div>
    <w:div w:id="642273303">
      <w:bodyDiv w:val="1"/>
      <w:marLeft w:val="0"/>
      <w:marRight w:val="0"/>
      <w:marTop w:val="0"/>
      <w:marBottom w:val="0"/>
      <w:divBdr>
        <w:top w:val="none" w:sz="0" w:space="0" w:color="auto"/>
        <w:left w:val="none" w:sz="0" w:space="0" w:color="auto"/>
        <w:bottom w:val="none" w:sz="0" w:space="0" w:color="auto"/>
        <w:right w:val="none" w:sz="0" w:space="0" w:color="auto"/>
      </w:divBdr>
    </w:div>
    <w:div w:id="828834832">
      <w:bodyDiv w:val="1"/>
      <w:marLeft w:val="0"/>
      <w:marRight w:val="0"/>
      <w:marTop w:val="0"/>
      <w:marBottom w:val="0"/>
      <w:divBdr>
        <w:top w:val="none" w:sz="0" w:space="0" w:color="auto"/>
        <w:left w:val="none" w:sz="0" w:space="0" w:color="auto"/>
        <w:bottom w:val="none" w:sz="0" w:space="0" w:color="auto"/>
        <w:right w:val="none" w:sz="0" w:space="0" w:color="auto"/>
      </w:divBdr>
    </w:div>
    <w:div w:id="1212306753">
      <w:bodyDiv w:val="1"/>
      <w:marLeft w:val="0"/>
      <w:marRight w:val="0"/>
      <w:marTop w:val="0"/>
      <w:marBottom w:val="0"/>
      <w:divBdr>
        <w:top w:val="none" w:sz="0" w:space="0" w:color="auto"/>
        <w:left w:val="none" w:sz="0" w:space="0" w:color="auto"/>
        <w:bottom w:val="none" w:sz="0" w:space="0" w:color="auto"/>
        <w:right w:val="none" w:sz="0" w:space="0" w:color="auto"/>
      </w:divBdr>
      <w:divsChild>
        <w:div w:id="74018750">
          <w:marLeft w:val="360"/>
          <w:marRight w:val="0"/>
          <w:marTop w:val="0"/>
          <w:marBottom w:val="160"/>
          <w:divBdr>
            <w:top w:val="none" w:sz="0" w:space="0" w:color="auto"/>
            <w:left w:val="none" w:sz="0" w:space="0" w:color="auto"/>
            <w:bottom w:val="none" w:sz="0" w:space="0" w:color="auto"/>
            <w:right w:val="none" w:sz="0" w:space="0" w:color="auto"/>
          </w:divBdr>
        </w:div>
        <w:div w:id="98841108">
          <w:marLeft w:val="360"/>
          <w:marRight w:val="0"/>
          <w:marTop w:val="0"/>
          <w:marBottom w:val="160"/>
          <w:divBdr>
            <w:top w:val="none" w:sz="0" w:space="0" w:color="auto"/>
            <w:left w:val="none" w:sz="0" w:space="0" w:color="auto"/>
            <w:bottom w:val="none" w:sz="0" w:space="0" w:color="auto"/>
            <w:right w:val="none" w:sz="0" w:space="0" w:color="auto"/>
          </w:divBdr>
        </w:div>
      </w:divsChild>
    </w:div>
    <w:div w:id="1588272210">
      <w:bodyDiv w:val="1"/>
      <w:marLeft w:val="0"/>
      <w:marRight w:val="0"/>
      <w:marTop w:val="0"/>
      <w:marBottom w:val="0"/>
      <w:divBdr>
        <w:top w:val="none" w:sz="0" w:space="0" w:color="auto"/>
        <w:left w:val="none" w:sz="0" w:space="0" w:color="auto"/>
        <w:bottom w:val="none" w:sz="0" w:space="0" w:color="auto"/>
        <w:right w:val="none" w:sz="0" w:space="0" w:color="auto"/>
      </w:divBdr>
      <w:divsChild>
        <w:div w:id="1981687643">
          <w:marLeft w:val="446"/>
          <w:marRight w:val="0"/>
          <w:marTop w:val="0"/>
          <w:marBottom w:val="0"/>
          <w:divBdr>
            <w:top w:val="none" w:sz="0" w:space="0" w:color="auto"/>
            <w:left w:val="none" w:sz="0" w:space="0" w:color="auto"/>
            <w:bottom w:val="none" w:sz="0" w:space="0" w:color="auto"/>
            <w:right w:val="none" w:sz="0" w:space="0" w:color="auto"/>
          </w:divBdr>
        </w:div>
        <w:div w:id="514539937">
          <w:marLeft w:val="446"/>
          <w:marRight w:val="0"/>
          <w:marTop w:val="0"/>
          <w:marBottom w:val="0"/>
          <w:divBdr>
            <w:top w:val="none" w:sz="0" w:space="0" w:color="auto"/>
            <w:left w:val="none" w:sz="0" w:space="0" w:color="auto"/>
            <w:bottom w:val="none" w:sz="0" w:space="0" w:color="auto"/>
            <w:right w:val="none" w:sz="0" w:space="0" w:color="auto"/>
          </w:divBdr>
        </w:div>
      </w:divsChild>
    </w:div>
    <w:div w:id="1908416874">
      <w:bodyDiv w:val="1"/>
      <w:marLeft w:val="0"/>
      <w:marRight w:val="0"/>
      <w:marTop w:val="0"/>
      <w:marBottom w:val="0"/>
      <w:divBdr>
        <w:top w:val="none" w:sz="0" w:space="0" w:color="auto"/>
        <w:left w:val="none" w:sz="0" w:space="0" w:color="auto"/>
        <w:bottom w:val="none" w:sz="0" w:space="0" w:color="auto"/>
        <w:right w:val="none" w:sz="0" w:space="0" w:color="auto"/>
      </w:divBdr>
      <w:divsChild>
        <w:div w:id="2022270276">
          <w:marLeft w:val="360"/>
          <w:marRight w:val="0"/>
          <w:marTop w:val="0"/>
          <w:marBottom w:val="160"/>
          <w:divBdr>
            <w:top w:val="none" w:sz="0" w:space="0" w:color="auto"/>
            <w:left w:val="none" w:sz="0" w:space="0" w:color="auto"/>
            <w:bottom w:val="none" w:sz="0" w:space="0" w:color="auto"/>
            <w:right w:val="none" w:sz="0" w:space="0" w:color="auto"/>
          </w:divBdr>
        </w:div>
        <w:div w:id="1433628449">
          <w:marLeft w:val="821"/>
          <w:marRight w:val="0"/>
          <w:marTop w:val="0"/>
          <w:marBottom w:val="160"/>
          <w:divBdr>
            <w:top w:val="none" w:sz="0" w:space="0" w:color="auto"/>
            <w:left w:val="none" w:sz="0" w:space="0" w:color="auto"/>
            <w:bottom w:val="none" w:sz="0" w:space="0" w:color="auto"/>
            <w:right w:val="none" w:sz="0" w:space="0" w:color="auto"/>
          </w:divBdr>
        </w:div>
        <w:div w:id="988897586">
          <w:marLeft w:val="821"/>
          <w:marRight w:val="0"/>
          <w:marTop w:val="0"/>
          <w:marBottom w:val="160"/>
          <w:divBdr>
            <w:top w:val="none" w:sz="0" w:space="0" w:color="auto"/>
            <w:left w:val="none" w:sz="0" w:space="0" w:color="auto"/>
            <w:bottom w:val="none" w:sz="0" w:space="0" w:color="auto"/>
            <w:right w:val="none" w:sz="0" w:space="0" w:color="auto"/>
          </w:divBdr>
        </w:div>
        <w:div w:id="674000143">
          <w:marLeft w:val="821"/>
          <w:marRight w:val="0"/>
          <w:marTop w:val="0"/>
          <w:marBottom w:val="0"/>
          <w:divBdr>
            <w:top w:val="none" w:sz="0" w:space="0" w:color="auto"/>
            <w:left w:val="none" w:sz="0" w:space="0" w:color="auto"/>
            <w:bottom w:val="none" w:sz="0" w:space="0" w:color="auto"/>
            <w:right w:val="none" w:sz="0" w:space="0" w:color="auto"/>
          </w:divBdr>
        </w:div>
      </w:divsChild>
    </w:div>
    <w:div w:id="2136215783">
      <w:bodyDiv w:val="1"/>
      <w:marLeft w:val="0"/>
      <w:marRight w:val="0"/>
      <w:marTop w:val="0"/>
      <w:marBottom w:val="0"/>
      <w:divBdr>
        <w:top w:val="none" w:sz="0" w:space="0" w:color="auto"/>
        <w:left w:val="none" w:sz="0" w:space="0" w:color="auto"/>
        <w:bottom w:val="none" w:sz="0" w:space="0" w:color="auto"/>
        <w:right w:val="none" w:sz="0" w:space="0" w:color="auto"/>
      </w:divBdr>
      <w:divsChild>
        <w:div w:id="607397621">
          <w:marLeft w:val="547"/>
          <w:marRight w:val="0"/>
          <w:marTop w:val="0"/>
          <w:marBottom w:val="0"/>
          <w:divBdr>
            <w:top w:val="none" w:sz="0" w:space="0" w:color="auto"/>
            <w:left w:val="none" w:sz="0" w:space="0" w:color="auto"/>
            <w:bottom w:val="none" w:sz="0" w:space="0" w:color="auto"/>
            <w:right w:val="none" w:sz="0" w:space="0" w:color="auto"/>
          </w:divBdr>
        </w:div>
        <w:div w:id="1080299112">
          <w:marLeft w:val="547"/>
          <w:marRight w:val="0"/>
          <w:marTop w:val="0"/>
          <w:marBottom w:val="0"/>
          <w:divBdr>
            <w:top w:val="none" w:sz="0" w:space="0" w:color="auto"/>
            <w:left w:val="none" w:sz="0" w:space="0" w:color="auto"/>
            <w:bottom w:val="none" w:sz="0" w:space="0" w:color="auto"/>
            <w:right w:val="none" w:sz="0" w:space="0" w:color="auto"/>
          </w:divBdr>
        </w:div>
        <w:div w:id="1730613340">
          <w:marLeft w:val="547"/>
          <w:marRight w:val="0"/>
          <w:marTop w:val="0"/>
          <w:marBottom w:val="0"/>
          <w:divBdr>
            <w:top w:val="none" w:sz="0" w:space="0" w:color="auto"/>
            <w:left w:val="none" w:sz="0" w:space="0" w:color="auto"/>
            <w:bottom w:val="none" w:sz="0" w:space="0" w:color="auto"/>
            <w:right w:val="none" w:sz="0" w:space="0" w:color="auto"/>
          </w:divBdr>
        </w:div>
        <w:div w:id="1462920561">
          <w:marLeft w:val="547"/>
          <w:marRight w:val="0"/>
          <w:marTop w:val="0"/>
          <w:marBottom w:val="0"/>
          <w:divBdr>
            <w:top w:val="none" w:sz="0" w:space="0" w:color="auto"/>
            <w:left w:val="none" w:sz="0" w:space="0" w:color="auto"/>
            <w:bottom w:val="none" w:sz="0" w:space="0" w:color="auto"/>
            <w:right w:val="none" w:sz="0" w:space="0" w:color="auto"/>
          </w:divBdr>
        </w:div>
        <w:div w:id="721951169">
          <w:marLeft w:val="979"/>
          <w:marRight w:val="0"/>
          <w:marTop w:val="0"/>
          <w:marBottom w:val="0"/>
          <w:divBdr>
            <w:top w:val="none" w:sz="0" w:space="0" w:color="auto"/>
            <w:left w:val="none" w:sz="0" w:space="0" w:color="auto"/>
            <w:bottom w:val="none" w:sz="0" w:space="0" w:color="auto"/>
            <w:right w:val="none" w:sz="0" w:space="0" w:color="auto"/>
          </w:divBdr>
        </w:div>
        <w:div w:id="413625892">
          <w:marLeft w:val="979"/>
          <w:marRight w:val="0"/>
          <w:marTop w:val="0"/>
          <w:marBottom w:val="0"/>
          <w:divBdr>
            <w:top w:val="none" w:sz="0" w:space="0" w:color="auto"/>
            <w:left w:val="none" w:sz="0" w:space="0" w:color="auto"/>
            <w:bottom w:val="none" w:sz="0" w:space="0" w:color="auto"/>
            <w:right w:val="none" w:sz="0" w:space="0" w:color="auto"/>
          </w:divBdr>
        </w:div>
        <w:div w:id="354967604">
          <w:marLeft w:val="979"/>
          <w:marRight w:val="0"/>
          <w:marTop w:val="0"/>
          <w:marBottom w:val="0"/>
          <w:divBdr>
            <w:top w:val="none" w:sz="0" w:space="0" w:color="auto"/>
            <w:left w:val="none" w:sz="0" w:space="0" w:color="auto"/>
            <w:bottom w:val="none" w:sz="0" w:space="0" w:color="auto"/>
            <w:right w:val="none" w:sz="0" w:space="0" w:color="auto"/>
          </w:divBdr>
        </w:div>
        <w:div w:id="746849945">
          <w:marLeft w:val="979"/>
          <w:marRight w:val="0"/>
          <w:marTop w:val="0"/>
          <w:marBottom w:val="0"/>
          <w:divBdr>
            <w:top w:val="none" w:sz="0" w:space="0" w:color="auto"/>
            <w:left w:val="none" w:sz="0" w:space="0" w:color="auto"/>
            <w:bottom w:val="none" w:sz="0" w:space="0" w:color="auto"/>
            <w:right w:val="none" w:sz="0" w:space="0" w:color="auto"/>
          </w:divBdr>
        </w:div>
        <w:div w:id="2103184984">
          <w:marLeft w:val="979"/>
          <w:marRight w:val="0"/>
          <w:marTop w:val="0"/>
          <w:marBottom w:val="0"/>
          <w:divBdr>
            <w:top w:val="none" w:sz="0" w:space="0" w:color="auto"/>
            <w:left w:val="none" w:sz="0" w:space="0" w:color="auto"/>
            <w:bottom w:val="none" w:sz="0" w:space="0" w:color="auto"/>
            <w:right w:val="none" w:sz="0" w:space="0" w:color="auto"/>
          </w:divBdr>
        </w:div>
        <w:div w:id="2064862977">
          <w:marLeft w:val="979"/>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ur-lex.europa.eu/legal-content/BG/TXT/HTML/?uri=CELEX:32021R0241&amp;from=BG" TargetMode="External"/><Relationship Id="rId18" Type="http://schemas.openxmlformats.org/officeDocument/2006/relationships/hyperlink" Target="https://eur-lex.europa.eu/legal-content/BG/TXT/HTML/?uri=CELEX:32021R0241&amp;from=BG" TargetMode="External"/><Relationship Id="rId26" Type="http://schemas.openxmlformats.org/officeDocument/2006/relationships/hyperlink" Target="https://eur-lex.europa.eu/legal-content/BG/TXT/HTML/?uri=CELEX:32021R0241&amp;from=BG" TargetMode="External"/><Relationship Id="rId39" Type="http://schemas.openxmlformats.org/officeDocument/2006/relationships/hyperlink" Target="https://eur-lex.europa.eu/legal-content/BG/TXT/HTML/?uri=CELEX:32021R0241&amp;from=BG" TargetMode="External"/><Relationship Id="rId21" Type="http://schemas.openxmlformats.org/officeDocument/2006/relationships/hyperlink" Target="https://eur-lex.europa.eu/legal-content/BG/TXT/HTML/?uri=CELEX:32021R0241&amp;from=BG" TargetMode="External"/><Relationship Id="rId34" Type="http://schemas.openxmlformats.org/officeDocument/2006/relationships/hyperlink" Target="https://eur-lex.europa.eu/legal-content/BG/TXT/HTML/?uri=CELEX:32021R0241&amp;from=BG" TargetMode="External"/><Relationship Id="rId42" Type="http://schemas.openxmlformats.org/officeDocument/2006/relationships/hyperlink" Target="https://eur-lex.europa.eu/legal-content/BG/TXT/HTML/?uri=CELEX:32021R0241&amp;from=BG" TargetMode="External"/><Relationship Id="rId47" Type="http://schemas.openxmlformats.org/officeDocument/2006/relationships/hyperlink" Target="https://eur-lex.europa.eu/legal-content/BG/TXT/HTML/?uri=CELEX:32021R0241&amp;from=BG" TargetMode="External"/><Relationship Id="rId50" Type="http://schemas.openxmlformats.org/officeDocument/2006/relationships/hyperlink" Target="https://eur-lex.europa.eu/legal-content/BG/TXT/HTML/?uri=CELEX:32021R0241&amp;from=BG" TargetMode="External"/><Relationship Id="rId55"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eur-lex.europa.eu/legal-content/BG/TXT/HTML/?uri=CELEX:32021R0241&amp;from=BG" TargetMode="External"/><Relationship Id="rId29" Type="http://schemas.openxmlformats.org/officeDocument/2006/relationships/hyperlink" Target="https://eur-lex.europa.eu/legal-content/BG/TXT/HTML/?uri=CELEX:32021R0241&amp;from=BG" TargetMode="External"/><Relationship Id="rId11" Type="http://schemas.openxmlformats.org/officeDocument/2006/relationships/hyperlink" Target="https://eur-lex.europa.eu/legal-content/BG/TXT/HTML/?uri=CELEX:32021R0241&amp;from=BG" TargetMode="External"/><Relationship Id="rId24" Type="http://schemas.openxmlformats.org/officeDocument/2006/relationships/hyperlink" Target="https://eur-lex.europa.eu/legal-content/BG/TXT/HTML/?uri=CELEX:32021R0241&amp;from=BG" TargetMode="External"/><Relationship Id="rId32" Type="http://schemas.openxmlformats.org/officeDocument/2006/relationships/hyperlink" Target="https://eur-lex.europa.eu/legal-content/BG/TXT/HTML/?uri=CELEX:32021R0241&amp;from=BG" TargetMode="External"/><Relationship Id="rId37" Type="http://schemas.openxmlformats.org/officeDocument/2006/relationships/hyperlink" Target="https://eur-lex.europa.eu/legal-content/BG/TXT/HTML/?uri=CELEX:32021R0241&amp;from=BG" TargetMode="External"/><Relationship Id="rId40" Type="http://schemas.openxmlformats.org/officeDocument/2006/relationships/hyperlink" Target="https://eur-lex.europa.eu/legal-content/BG/TXT/HTML/?uri=CELEX:32021R0241&amp;from=BG" TargetMode="External"/><Relationship Id="rId45" Type="http://schemas.openxmlformats.org/officeDocument/2006/relationships/hyperlink" Target="https://eur-lex.europa.eu/legal-content/BG/TXT/HTML/?uri=CELEX:32021R0241&amp;from=BG" TargetMode="External"/><Relationship Id="rId53" Type="http://schemas.openxmlformats.org/officeDocument/2006/relationships/header" Target="header2.xml"/><Relationship Id="rId5" Type="http://schemas.openxmlformats.org/officeDocument/2006/relationships/webSettings" Target="webSettings.xml"/><Relationship Id="rId61" Type="http://schemas.microsoft.com/office/2016/09/relationships/commentsIds" Target="commentsIds.xml"/><Relationship Id="rId10" Type="http://schemas.openxmlformats.org/officeDocument/2006/relationships/hyperlink" Target="https://eur-lex.europa.eu/legal-content/BG/TXT/HTML/?uri=CELEX:32021R0241&amp;from=BG" TargetMode="External"/><Relationship Id="rId19" Type="http://schemas.openxmlformats.org/officeDocument/2006/relationships/hyperlink" Target="https://eur-lex.europa.eu/legal-content/BG/TXT/HTML/?uri=CELEX:32021R0241&amp;from=BG" TargetMode="External"/><Relationship Id="rId31" Type="http://schemas.openxmlformats.org/officeDocument/2006/relationships/hyperlink" Target="https://eur-lex.europa.eu/legal-content/BG/TXT/HTML/?uri=CELEX:32021R0241&amp;from=BG" TargetMode="External"/><Relationship Id="rId44" Type="http://schemas.openxmlformats.org/officeDocument/2006/relationships/hyperlink" Target="https://eur-lex.europa.eu/legal-content/BG/TXT/HTML/?uri=CELEX:32021R0241&amp;from=BG" TargetMode="External"/><Relationship Id="rId52"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ur-lex.europa.eu/legal-content/BG/TXT/HTML/?uri=CELEX:32021R0241&amp;from=BG" TargetMode="External"/><Relationship Id="rId14" Type="http://schemas.openxmlformats.org/officeDocument/2006/relationships/hyperlink" Target="https://eur-lex.europa.eu/legal-content/BG/TXT/HTML/?uri=CELEX:32021R0241&amp;from=BG" TargetMode="External"/><Relationship Id="rId22" Type="http://schemas.openxmlformats.org/officeDocument/2006/relationships/hyperlink" Target="https://eur-lex.europa.eu/legal-content/BG/TXT/HTML/?uri=CELEX:32021R0241&amp;from=BG" TargetMode="External"/><Relationship Id="rId27" Type="http://schemas.openxmlformats.org/officeDocument/2006/relationships/hyperlink" Target="https://eur-lex.europa.eu/legal-content/BG/TXT/HTML/?uri=CELEX:32021R0241&amp;from=BG" TargetMode="External"/><Relationship Id="rId30" Type="http://schemas.openxmlformats.org/officeDocument/2006/relationships/hyperlink" Target="https://eur-lex.europa.eu/legal-content/BG/TXT/HTML/?uri=CELEX:32021R0241&amp;from=BG" TargetMode="External"/><Relationship Id="rId35" Type="http://schemas.openxmlformats.org/officeDocument/2006/relationships/hyperlink" Target="https://eur-lex.europa.eu/legal-content/BG/TXT/HTML/?uri=CELEX:32021R0241&amp;from=BG" TargetMode="External"/><Relationship Id="rId43" Type="http://schemas.openxmlformats.org/officeDocument/2006/relationships/hyperlink" Target="https://eur-lex.europa.eu/legal-content/BG/TXT/HTML/?uri=CELEX:32021R0241&amp;from=BG" TargetMode="External"/><Relationship Id="rId48" Type="http://schemas.openxmlformats.org/officeDocument/2006/relationships/hyperlink" Target="https://eur-lex.europa.eu/legal-content/BG/TXT/HTML/?uri=CELEX:32021R0241&amp;from=BG" TargetMode="External"/><Relationship Id="rId8" Type="http://schemas.openxmlformats.org/officeDocument/2006/relationships/image" Target="media/image1.png"/><Relationship Id="rId51" Type="http://schemas.openxmlformats.org/officeDocument/2006/relationships/hyperlink" Target="https://eur-lex.europa.eu/legal-content/BG/TXT/HTML/?uri=CELEX:32021R0241&amp;from=BG" TargetMode="External"/><Relationship Id="rId3" Type="http://schemas.openxmlformats.org/officeDocument/2006/relationships/styles" Target="styles.xml"/><Relationship Id="rId12" Type="http://schemas.openxmlformats.org/officeDocument/2006/relationships/hyperlink" Target="https://eur-lex.europa.eu/legal-content/BG/TXT/HTML/?uri=CELEX:32021R0241&amp;from=BG" TargetMode="External"/><Relationship Id="rId17" Type="http://schemas.openxmlformats.org/officeDocument/2006/relationships/hyperlink" Target="https://eur-lex.europa.eu/legal-content/BG/TXT/HTML/?uri=CELEX:32021R0241&amp;from=BG" TargetMode="External"/><Relationship Id="rId25" Type="http://schemas.openxmlformats.org/officeDocument/2006/relationships/hyperlink" Target="https://eur-lex.europa.eu/legal-content/BG/TXT/HTML/?uri=CELEX:32021R0241&amp;from=BG" TargetMode="External"/><Relationship Id="rId33" Type="http://schemas.openxmlformats.org/officeDocument/2006/relationships/hyperlink" Target="https://eur-lex.europa.eu/legal-content/BG/TXT/HTML/?uri=CELEX:32021R0241&amp;from=BG" TargetMode="External"/><Relationship Id="rId38" Type="http://schemas.openxmlformats.org/officeDocument/2006/relationships/hyperlink" Target="https://eur-lex.europa.eu/legal-content/BG/AUTO/?uri=OJ:L:2018:328:TOC" TargetMode="External"/><Relationship Id="rId46" Type="http://schemas.openxmlformats.org/officeDocument/2006/relationships/hyperlink" Target="https://eur-lex.europa.eu/legal-content/BG/TXT/HTML/?uri=CELEX:32021R0241&amp;from=BG" TargetMode="External"/><Relationship Id="rId20" Type="http://schemas.openxmlformats.org/officeDocument/2006/relationships/hyperlink" Target="https://eur-lex.europa.eu/legal-content/BG/TXT/HTML/?uri=CELEX:32021R0241&amp;from=BG" TargetMode="External"/><Relationship Id="rId41" Type="http://schemas.openxmlformats.org/officeDocument/2006/relationships/hyperlink" Target="https://eur-lex.europa.eu/legal-content/BG/AUTO/?uri=OJ:L:2012:315:TOC"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eur-lex.europa.eu/legal-content/BG/TXT/HTML/?uri=CELEX:32021R0241&amp;from=BG" TargetMode="External"/><Relationship Id="rId23" Type="http://schemas.openxmlformats.org/officeDocument/2006/relationships/hyperlink" Target="https://eur-lex.europa.eu/legal-content/BG/TXT/HTML/?uri=CELEX:32021R0241&amp;from=BG" TargetMode="External"/><Relationship Id="rId28" Type="http://schemas.openxmlformats.org/officeDocument/2006/relationships/hyperlink" Target="https://eur-lex.europa.eu/legal-content/BG/TXT/HTML/?uri=CELEX:32021R0241&amp;from=BG" TargetMode="External"/><Relationship Id="rId36" Type="http://schemas.openxmlformats.org/officeDocument/2006/relationships/hyperlink" Target="https://eur-lex.europa.eu/legal-content/BG/TXT/HTML/?uri=CELEX:32021R0241&amp;from=BG" TargetMode="External"/><Relationship Id="rId49" Type="http://schemas.openxmlformats.org/officeDocument/2006/relationships/hyperlink" Target="https://eur-lex.europa.eu/legal-content/BG/TXT/HTML/?uri=CELEX:32021R0241&amp;from=BG"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EE7B55-02DD-46CE-8403-8A8DD1154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6249</Words>
  <Characters>35621</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Lyubomir Mitov</cp:lastModifiedBy>
  <cp:revision>4</cp:revision>
  <dcterms:created xsi:type="dcterms:W3CDTF">2023-09-26T08:52:00Z</dcterms:created>
  <dcterms:modified xsi:type="dcterms:W3CDTF">2023-09-26T14:16:00Z</dcterms:modified>
</cp:coreProperties>
</file>